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113" w:type="dxa"/>
          <w:bottom w:w="284" w:type="dxa"/>
          <w:right w:w="113" w:type="dxa"/>
        </w:tblCellMar>
        <w:tblLook w:val="04A0" w:firstRow="1" w:lastRow="0" w:firstColumn="1" w:lastColumn="0" w:noHBand="0" w:noVBand="1"/>
      </w:tblPr>
      <w:tblGrid>
        <w:gridCol w:w="6663"/>
        <w:gridCol w:w="3260"/>
      </w:tblGrid>
      <w:tr w:rsidR="004F7F35" w:rsidRPr="00DA663C" w14:paraId="765C5B67" w14:textId="77777777" w:rsidTr="00CE34D4">
        <w:tc>
          <w:tcPr>
            <w:tcW w:w="9923" w:type="dxa"/>
            <w:gridSpan w:val="2"/>
            <w:tcMar>
              <w:top w:w="0" w:type="dxa"/>
              <w:left w:w="0" w:type="dxa"/>
              <w:bottom w:w="284" w:type="dxa"/>
              <w:right w:w="0" w:type="dxa"/>
            </w:tcMar>
          </w:tcPr>
          <w:p w14:paraId="1A778600" w14:textId="77777777" w:rsidR="004F7F35" w:rsidRPr="00DA663C" w:rsidRDefault="004F7F35" w:rsidP="003C7168">
            <w:pPr>
              <w:pStyle w:val="NoSpacing"/>
              <w:spacing w:line="276" w:lineRule="auto"/>
              <w:ind w:right="6296"/>
              <w:rPr>
                <w:rFonts w:ascii="Calibri Light" w:hAnsi="Calibri Light" w:cs="Calibri Light"/>
                <w:color w:val="595959" w:themeColor="text1" w:themeTint="A6"/>
                <w:sz w:val="22"/>
                <w:szCs w:val="22"/>
              </w:rPr>
            </w:pPr>
            <w:r w:rsidRPr="00DA663C">
              <w:rPr>
                <w:rFonts w:ascii="Calibri Light" w:hAnsi="Calibri Light" w:cs="Calibri Light"/>
                <w:noProof/>
                <w:color w:val="595959" w:themeColor="text1" w:themeTint="A6"/>
                <w:sz w:val="22"/>
                <w:szCs w:val="22"/>
              </w:rPr>
              <w:drawing>
                <wp:anchor distT="0" distB="0" distL="114300" distR="114300" simplePos="0" relativeHeight="251659264" behindDoc="0" locked="0" layoutInCell="1" allowOverlap="1" wp14:anchorId="5E7C3A18" wp14:editId="1B8D5D16">
                  <wp:simplePos x="0" y="0"/>
                  <wp:positionH relativeFrom="column">
                    <wp:posOffset>-1270</wp:posOffset>
                  </wp:positionH>
                  <wp:positionV relativeFrom="paragraph">
                    <wp:posOffset>0</wp:posOffset>
                  </wp:positionV>
                  <wp:extent cx="3267710" cy="647700"/>
                  <wp:effectExtent l="0" t="0" r="8890" b="0"/>
                  <wp:wrapSquare wrapText="bothSides"/>
                  <wp:docPr id="3" name="Picture 3"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white tex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710"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7F35" w:rsidRPr="00DA663C" w14:paraId="55A9645D" w14:textId="77777777" w:rsidTr="00CE34D4">
        <w:tc>
          <w:tcPr>
            <w:tcW w:w="6663" w:type="dxa"/>
          </w:tcPr>
          <w:p w14:paraId="3B5C57A9" w14:textId="6491DDE9" w:rsidR="004F7F35" w:rsidRPr="00DA663C" w:rsidRDefault="004F7F35" w:rsidP="003C7168">
            <w:pPr>
              <w:pStyle w:val="NoSpacing"/>
              <w:spacing w:line="276" w:lineRule="auto"/>
              <w:rPr>
                <w:rFonts w:ascii="Calibri Light" w:hAnsi="Calibri Light" w:cs="Calibri Light"/>
                <w:sz w:val="22"/>
                <w:szCs w:val="22"/>
              </w:rPr>
            </w:pPr>
            <w:r w:rsidRPr="00DA663C">
              <w:rPr>
                <w:rFonts w:ascii="Calibri Light" w:hAnsi="Calibri Light" w:cs="Calibri Light"/>
                <w:sz w:val="22"/>
                <w:szCs w:val="22"/>
              </w:rPr>
              <w:t>7 February 2025</w:t>
            </w:r>
          </w:p>
        </w:tc>
        <w:tc>
          <w:tcPr>
            <w:tcW w:w="3260" w:type="dxa"/>
            <w:tcBorders>
              <w:top w:val="single" w:sz="4" w:space="0" w:color="595959" w:themeColor="text1" w:themeTint="A6"/>
              <w:bottom w:val="single" w:sz="4" w:space="0" w:color="595959" w:themeColor="text1" w:themeTint="A6"/>
            </w:tcBorders>
          </w:tcPr>
          <w:p w14:paraId="609BD02D" w14:textId="77F2A53B"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595959" w:themeColor="text1" w:themeTint="A6"/>
                <w:sz w:val="22"/>
                <w:szCs w:val="22"/>
              </w:rPr>
              <w:t>Professor Claire Charters</w:t>
            </w:r>
          </w:p>
          <w:p w14:paraId="4E79CF02" w14:textId="45C8735E" w:rsidR="004F7F35" w:rsidRPr="00DA663C" w:rsidRDefault="00DA663C" w:rsidP="003C7168">
            <w:pPr>
              <w:pStyle w:val="NoSpacing"/>
              <w:spacing w:line="276" w:lineRule="auto"/>
              <w:ind w:left="-30"/>
              <w:rPr>
                <w:rFonts w:ascii="Calibri Light" w:hAnsi="Calibri Light" w:cs="Calibri Light"/>
                <w:color w:val="595959" w:themeColor="text1" w:themeTint="A6"/>
                <w:sz w:val="22"/>
                <w:szCs w:val="22"/>
              </w:rPr>
            </w:pPr>
            <w:r>
              <w:rPr>
                <w:rFonts w:ascii="Calibri Light" w:hAnsi="Calibri Light" w:cs="Calibri Light"/>
                <w:color w:val="595959" w:themeColor="text1" w:themeTint="A6"/>
                <w:sz w:val="22"/>
                <w:szCs w:val="22"/>
              </w:rPr>
              <w:t>Co-</w:t>
            </w:r>
            <w:r w:rsidR="004F7F35" w:rsidRPr="00DA663C">
              <w:rPr>
                <w:rFonts w:ascii="Calibri Light" w:hAnsi="Calibri Light" w:cs="Calibri Light"/>
                <w:color w:val="595959" w:themeColor="text1" w:themeTint="A6"/>
                <w:sz w:val="22"/>
                <w:szCs w:val="22"/>
              </w:rPr>
              <w:t>Director</w:t>
            </w:r>
            <w:r w:rsidRPr="00DA663C">
              <w:rPr>
                <w:rFonts w:ascii="Calibri Light" w:hAnsi="Calibri Light" w:cs="Calibri Light"/>
                <w:color w:val="595959" w:themeColor="text1" w:themeTint="A6"/>
                <w:sz w:val="22"/>
                <w:szCs w:val="22"/>
              </w:rPr>
              <w:t xml:space="preserve">, </w:t>
            </w:r>
            <w:proofErr w:type="spellStart"/>
            <w:r w:rsidRPr="00DA663C">
              <w:rPr>
                <w:rFonts w:ascii="Calibri Light" w:hAnsi="Calibri Light" w:cs="Calibri Light"/>
                <w:color w:val="595959" w:themeColor="text1" w:themeTint="A6"/>
                <w:sz w:val="22"/>
                <w:szCs w:val="22"/>
              </w:rPr>
              <w:t>Te</w:t>
            </w:r>
            <w:proofErr w:type="spellEnd"/>
            <w:r w:rsidRPr="00DA663C">
              <w:rPr>
                <w:rFonts w:ascii="Calibri Light" w:hAnsi="Calibri Light" w:cs="Calibri Light"/>
                <w:color w:val="595959" w:themeColor="text1" w:themeTint="A6"/>
                <w:sz w:val="22"/>
                <w:szCs w:val="22"/>
              </w:rPr>
              <w:t xml:space="preserve"> Puna </w:t>
            </w:r>
            <w:proofErr w:type="spellStart"/>
            <w:r w:rsidRPr="00DA663C">
              <w:rPr>
                <w:rFonts w:ascii="Calibri Light" w:hAnsi="Calibri Light" w:cs="Calibri Light"/>
                <w:color w:val="595959" w:themeColor="text1" w:themeTint="A6"/>
                <w:sz w:val="22"/>
                <w:szCs w:val="22"/>
              </w:rPr>
              <w:t>Rangahau</w:t>
            </w:r>
            <w:proofErr w:type="spellEnd"/>
            <w:r w:rsidRPr="00DA663C">
              <w:rPr>
                <w:rFonts w:ascii="Calibri Light" w:hAnsi="Calibri Light" w:cs="Calibri Light"/>
                <w:color w:val="595959" w:themeColor="text1" w:themeTint="A6"/>
                <w:sz w:val="22"/>
                <w:szCs w:val="22"/>
              </w:rPr>
              <w:t xml:space="preserve"> o </w:t>
            </w:r>
            <w:proofErr w:type="spellStart"/>
            <w:r w:rsidRPr="00DA663C">
              <w:rPr>
                <w:rFonts w:ascii="Calibri Light" w:hAnsi="Calibri Light" w:cs="Calibri Light"/>
                <w:color w:val="595959" w:themeColor="text1" w:themeTint="A6"/>
                <w:sz w:val="22"/>
                <w:szCs w:val="22"/>
              </w:rPr>
              <w:t>te</w:t>
            </w:r>
            <w:proofErr w:type="spellEnd"/>
            <w:r w:rsidRPr="00DA663C">
              <w:rPr>
                <w:rFonts w:ascii="Calibri Light" w:hAnsi="Calibri Light" w:cs="Calibri Light"/>
                <w:color w:val="595959" w:themeColor="text1" w:themeTint="A6"/>
                <w:sz w:val="22"/>
                <w:szCs w:val="22"/>
              </w:rPr>
              <w:t xml:space="preserve"> Wai Ariki</w:t>
            </w:r>
          </w:p>
          <w:p w14:paraId="548E29C2"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595959" w:themeColor="text1" w:themeTint="A6"/>
                <w:sz w:val="22"/>
                <w:szCs w:val="22"/>
              </w:rPr>
              <w:t xml:space="preserve">Building 810, </w:t>
            </w:r>
            <w:r w:rsidRPr="00DA663C">
              <w:rPr>
                <w:rFonts w:ascii="Calibri Light" w:hAnsi="Calibri Light" w:cs="Calibri Light"/>
                <w:color w:val="595959" w:themeColor="text1" w:themeTint="A6"/>
                <w:sz w:val="22"/>
                <w:szCs w:val="22"/>
              </w:rPr>
              <w:br/>
              <w:t>Fifth Floor, 1-10 Short Street,</w:t>
            </w:r>
          </w:p>
          <w:p w14:paraId="6CE4E864"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595959" w:themeColor="text1" w:themeTint="A6"/>
                <w:sz w:val="22"/>
                <w:szCs w:val="22"/>
              </w:rPr>
              <w:t>Auckland, New Zealand</w:t>
            </w:r>
          </w:p>
          <w:p w14:paraId="24B43A44"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00638F"/>
                <w:sz w:val="22"/>
                <w:szCs w:val="22"/>
              </w:rPr>
              <w:t>T</w:t>
            </w:r>
            <w:r w:rsidRPr="00DA663C">
              <w:rPr>
                <w:rFonts w:ascii="Calibri Light" w:hAnsi="Calibri Light" w:cs="Calibri Light"/>
                <w:color w:val="595959" w:themeColor="text1" w:themeTint="A6"/>
                <w:sz w:val="22"/>
                <w:szCs w:val="22"/>
              </w:rPr>
              <w:t>+64 9 123 4567</w:t>
            </w:r>
          </w:p>
          <w:p w14:paraId="312C18CC"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00638F"/>
                <w:sz w:val="22"/>
                <w:szCs w:val="22"/>
              </w:rPr>
              <w:t>W</w:t>
            </w:r>
            <w:r w:rsidRPr="00DA663C">
              <w:rPr>
                <w:rFonts w:ascii="Calibri Light" w:hAnsi="Calibri Light" w:cs="Calibri Light"/>
                <w:color w:val="595959" w:themeColor="text1" w:themeTint="A6"/>
                <w:sz w:val="22"/>
                <w:szCs w:val="22"/>
              </w:rPr>
              <w:t xml:space="preserve"> www.law.auckland.ac.nz   </w:t>
            </w:r>
          </w:p>
          <w:p w14:paraId="03C018A3"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595959" w:themeColor="text1" w:themeTint="A6"/>
                <w:sz w:val="22"/>
                <w:szCs w:val="22"/>
              </w:rPr>
              <w:t xml:space="preserve">The University of Auckland </w:t>
            </w:r>
          </w:p>
          <w:p w14:paraId="7B7DE679"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595959" w:themeColor="text1" w:themeTint="A6"/>
                <w:sz w:val="22"/>
                <w:szCs w:val="22"/>
              </w:rPr>
              <w:t>Private Bag 92019</w:t>
            </w:r>
          </w:p>
          <w:p w14:paraId="27FFB82E" w14:textId="77777777" w:rsidR="004F7F35" w:rsidRPr="00DA663C" w:rsidRDefault="004F7F35" w:rsidP="003C7168">
            <w:pPr>
              <w:pStyle w:val="NoSpacing"/>
              <w:spacing w:line="276" w:lineRule="auto"/>
              <w:ind w:left="-30"/>
              <w:rPr>
                <w:rFonts w:ascii="Calibri Light" w:hAnsi="Calibri Light" w:cs="Calibri Light"/>
                <w:color w:val="595959" w:themeColor="text1" w:themeTint="A6"/>
                <w:sz w:val="22"/>
                <w:szCs w:val="22"/>
              </w:rPr>
            </w:pPr>
            <w:r w:rsidRPr="00DA663C">
              <w:rPr>
                <w:rFonts w:ascii="Calibri Light" w:hAnsi="Calibri Light" w:cs="Calibri Light"/>
                <w:color w:val="595959" w:themeColor="text1" w:themeTint="A6"/>
                <w:sz w:val="22"/>
                <w:szCs w:val="22"/>
              </w:rPr>
              <w:t>Auckland 1142</w:t>
            </w:r>
          </w:p>
          <w:p w14:paraId="184978BB" w14:textId="77777777" w:rsidR="004F7F35" w:rsidRPr="00DA663C" w:rsidRDefault="004F7F35" w:rsidP="003C7168">
            <w:pPr>
              <w:pStyle w:val="NoSpacing"/>
              <w:spacing w:line="276" w:lineRule="auto"/>
              <w:ind w:left="-30"/>
              <w:rPr>
                <w:rFonts w:ascii="Calibri Light" w:hAnsi="Calibri Light" w:cs="Calibri Light"/>
                <w:sz w:val="22"/>
                <w:szCs w:val="22"/>
              </w:rPr>
            </w:pPr>
            <w:r w:rsidRPr="00DA663C">
              <w:rPr>
                <w:rFonts w:ascii="Calibri Light" w:hAnsi="Calibri Light" w:cs="Calibri Light"/>
                <w:color w:val="595959" w:themeColor="text1" w:themeTint="A6"/>
                <w:sz w:val="22"/>
                <w:szCs w:val="22"/>
              </w:rPr>
              <w:t>New Zealand</w:t>
            </w:r>
          </w:p>
        </w:tc>
      </w:tr>
    </w:tbl>
    <w:p w14:paraId="2773A46C" w14:textId="77777777" w:rsidR="004F7F35" w:rsidRPr="00DA663C" w:rsidRDefault="004F7F35" w:rsidP="003C7168">
      <w:pPr>
        <w:pStyle w:val="Title"/>
        <w:spacing w:line="276" w:lineRule="auto"/>
        <w:jc w:val="left"/>
        <w:rPr>
          <w:rFonts w:ascii="Calibri Light" w:hAnsi="Calibri Light" w:cs="Calibri Light"/>
          <w:b w:val="0"/>
          <w:bCs w:val="0"/>
          <w:sz w:val="22"/>
          <w:szCs w:val="22"/>
        </w:rPr>
      </w:pPr>
    </w:p>
    <w:p w14:paraId="41A746E0" w14:textId="7E7346E4" w:rsidR="25405C7E" w:rsidRPr="00DA663C" w:rsidRDefault="25405C7E" w:rsidP="003C7168">
      <w:pPr>
        <w:pStyle w:val="Title"/>
        <w:spacing w:line="276" w:lineRule="auto"/>
        <w:jc w:val="left"/>
        <w:rPr>
          <w:rFonts w:ascii="Calibri Light" w:hAnsi="Calibri Light" w:cs="Calibri Light"/>
          <w:sz w:val="22"/>
          <w:szCs w:val="22"/>
        </w:rPr>
      </w:pPr>
      <w:r w:rsidRPr="00DA663C">
        <w:rPr>
          <w:rFonts w:ascii="Calibri Light" w:hAnsi="Calibri Light" w:cs="Calibri Light"/>
          <w:sz w:val="22"/>
          <w:szCs w:val="22"/>
        </w:rPr>
        <w:t xml:space="preserve">CONSIDERATION OF </w:t>
      </w:r>
      <w:r w:rsidR="45BFEE5D" w:rsidRPr="00DA663C">
        <w:rPr>
          <w:rFonts w:ascii="Calibri Light" w:hAnsi="Calibri Light" w:cs="Calibri Light"/>
          <w:sz w:val="22"/>
          <w:szCs w:val="22"/>
        </w:rPr>
        <w:t>AOT</w:t>
      </w:r>
      <w:r w:rsidR="08AFE221" w:rsidRPr="00DA663C">
        <w:rPr>
          <w:rFonts w:ascii="Calibri Light" w:hAnsi="Calibri Light" w:cs="Calibri Light"/>
          <w:sz w:val="22"/>
          <w:szCs w:val="22"/>
        </w:rPr>
        <w:t>EAROA NEW ZEALAND’S FIFTH PERIODIC REPORT</w:t>
      </w:r>
      <w:r w:rsidR="797AD1E2" w:rsidRPr="00DA663C">
        <w:rPr>
          <w:rFonts w:ascii="Calibri Light" w:hAnsi="Calibri Light" w:cs="Calibri Light"/>
          <w:sz w:val="22"/>
          <w:szCs w:val="22"/>
        </w:rPr>
        <w:t xml:space="preserve"> ON IMPLEMENTATION OF THE INTERNATIONAL COVENANT ON ECONOMIC, SOCIAL AND CULTURAL RIGHTS</w:t>
      </w:r>
    </w:p>
    <w:p w14:paraId="27348F73" w14:textId="3D9F0E2A" w:rsidR="22BDC9D0" w:rsidRPr="00DA663C" w:rsidRDefault="00DA663C" w:rsidP="003C7168">
      <w:pPr>
        <w:spacing w:line="276" w:lineRule="auto"/>
        <w:rPr>
          <w:rFonts w:ascii="Calibri Light" w:hAnsi="Calibri Light" w:cs="Calibri Light"/>
          <w:b/>
          <w:bCs/>
          <w:sz w:val="22"/>
          <w:szCs w:val="22"/>
        </w:rPr>
      </w:pPr>
      <w:r>
        <w:rPr>
          <w:rFonts w:ascii="Calibri Light" w:hAnsi="Calibri Light" w:cs="Calibri Light"/>
          <w:b/>
          <w:bCs/>
          <w:sz w:val="22"/>
          <w:szCs w:val="22"/>
        </w:rPr>
        <w:t xml:space="preserve">Input from </w:t>
      </w:r>
      <w:proofErr w:type="spellStart"/>
      <w:r w:rsidR="797AD1E2" w:rsidRPr="00DA663C">
        <w:rPr>
          <w:rFonts w:ascii="Calibri Light" w:hAnsi="Calibri Light" w:cs="Calibri Light"/>
          <w:b/>
          <w:bCs/>
          <w:sz w:val="22"/>
          <w:szCs w:val="22"/>
        </w:rPr>
        <w:t>Te</w:t>
      </w:r>
      <w:proofErr w:type="spellEnd"/>
      <w:r w:rsidR="797AD1E2" w:rsidRPr="00DA663C">
        <w:rPr>
          <w:rFonts w:ascii="Calibri Light" w:hAnsi="Calibri Light" w:cs="Calibri Light"/>
          <w:b/>
          <w:bCs/>
          <w:sz w:val="22"/>
          <w:szCs w:val="22"/>
        </w:rPr>
        <w:t xml:space="preserve"> Puna </w:t>
      </w:r>
      <w:proofErr w:type="spellStart"/>
      <w:r w:rsidR="797AD1E2" w:rsidRPr="00DA663C">
        <w:rPr>
          <w:rFonts w:ascii="Calibri Light" w:hAnsi="Calibri Light" w:cs="Calibri Light"/>
          <w:b/>
          <w:bCs/>
          <w:sz w:val="22"/>
          <w:szCs w:val="22"/>
        </w:rPr>
        <w:t>Rangahau</w:t>
      </w:r>
      <w:proofErr w:type="spellEnd"/>
      <w:r w:rsidR="797AD1E2" w:rsidRPr="00DA663C">
        <w:rPr>
          <w:rFonts w:ascii="Calibri Light" w:hAnsi="Calibri Light" w:cs="Calibri Light"/>
          <w:b/>
          <w:bCs/>
          <w:sz w:val="22"/>
          <w:szCs w:val="22"/>
        </w:rPr>
        <w:t xml:space="preserve"> o </w:t>
      </w:r>
      <w:proofErr w:type="spellStart"/>
      <w:r w:rsidR="797AD1E2" w:rsidRPr="00DA663C">
        <w:rPr>
          <w:rFonts w:ascii="Calibri Light" w:hAnsi="Calibri Light" w:cs="Calibri Light"/>
          <w:b/>
          <w:bCs/>
          <w:sz w:val="22"/>
          <w:szCs w:val="22"/>
        </w:rPr>
        <w:t>te</w:t>
      </w:r>
      <w:proofErr w:type="spellEnd"/>
      <w:r w:rsidR="797AD1E2" w:rsidRPr="00DA663C">
        <w:rPr>
          <w:rFonts w:ascii="Calibri Light" w:hAnsi="Calibri Light" w:cs="Calibri Light"/>
          <w:b/>
          <w:bCs/>
          <w:sz w:val="22"/>
          <w:szCs w:val="22"/>
        </w:rPr>
        <w:t xml:space="preserve"> Wai Ariki | Aotearoa Centre for Indigenous Peoples and the Law</w:t>
      </w:r>
    </w:p>
    <w:p w14:paraId="3F953CDB" w14:textId="3F5062AE" w:rsidR="4120DD93" w:rsidRPr="00DA663C" w:rsidRDefault="00781530" w:rsidP="003C7168">
      <w:pPr>
        <w:pStyle w:val="Heading1"/>
        <w:spacing w:line="276" w:lineRule="auto"/>
        <w:jc w:val="both"/>
        <w:rPr>
          <w:rFonts w:ascii="Calibri Light" w:hAnsi="Calibri Light" w:cs="Calibri Light"/>
          <w:b w:val="0"/>
          <w:bCs w:val="0"/>
          <w:sz w:val="22"/>
          <w:szCs w:val="22"/>
        </w:rPr>
      </w:pPr>
      <w:r w:rsidRPr="00DA663C">
        <w:rPr>
          <w:rFonts w:ascii="Calibri Light" w:hAnsi="Calibri Light" w:cs="Calibri Light"/>
          <w:b w:val="0"/>
          <w:bCs w:val="0"/>
          <w:sz w:val="22"/>
          <w:szCs w:val="22"/>
        </w:rPr>
        <w:t>INTRODUCTION</w:t>
      </w:r>
    </w:p>
    <w:p w14:paraId="3D22E762" w14:textId="02AFA1C6" w:rsidR="005802E6" w:rsidRPr="00DA663C" w:rsidRDefault="4120DD93" w:rsidP="003C7168">
      <w:pPr>
        <w:pStyle w:val="ListParagraph"/>
        <w:numPr>
          <w:ilvl w:val="1"/>
          <w:numId w:val="3"/>
        </w:numPr>
        <w:spacing w:line="276" w:lineRule="auto"/>
        <w:ind w:hanging="731"/>
        <w:contextualSpacing w:val="0"/>
        <w:jc w:val="both"/>
        <w:rPr>
          <w:rFonts w:ascii="Calibri Light" w:hAnsi="Calibri Light" w:cs="Calibri Light"/>
          <w:sz w:val="22"/>
          <w:szCs w:val="22"/>
        </w:rPr>
      </w:pP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Puna </w:t>
      </w:r>
      <w:proofErr w:type="spellStart"/>
      <w:r w:rsidRPr="00DA663C">
        <w:rPr>
          <w:rFonts w:ascii="Calibri Light" w:hAnsi="Calibri Light" w:cs="Calibri Light"/>
          <w:sz w:val="22"/>
          <w:szCs w:val="22"/>
        </w:rPr>
        <w:t>Rangahau</w:t>
      </w:r>
      <w:proofErr w:type="spellEnd"/>
      <w:r w:rsidRPr="00DA663C">
        <w:rPr>
          <w:rFonts w:ascii="Calibri Light" w:hAnsi="Calibri Light" w:cs="Calibri Light"/>
          <w:sz w:val="22"/>
          <w:szCs w:val="22"/>
        </w:rPr>
        <w:t xml:space="preserve"> o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Wai Ariki | Aotearoa Centre for Indigenous Peoples and the Law</w:t>
      </w:r>
      <w:r w:rsidR="06BEAA99" w:rsidRPr="00DA663C">
        <w:rPr>
          <w:rFonts w:ascii="Calibri Light" w:hAnsi="Calibri Light" w:cs="Calibri Light"/>
          <w:sz w:val="22"/>
          <w:szCs w:val="22"/>
        </w:rPr>
        <w:t xml:space="preserve"> (</w:t>
      </w:r>
      <w:proofErr w:type="spellStart"/>
      <w:r w:rsidR="06BEAA99" w:rsidRPr="00DA663C">
        <w:rPr>
          <w:rFonts w:ascii="Calibri Light" w:hAnsi="Calibri Light" w:cs="Calibri Light"/>
          <w:sz w:val="22"/>
          <w:szCs w:val="22"/>
        </w:rPr>
        <w:t>Te</w:t>
      </w:r>
      <w:proofErr w:type="spellEnd"/>
      <w:r w:rsidR="06BEAA99" w:rsidRPr="00DA663C">
        <w:rPr>
          <w:rFonts w:ascii="Calibri Light" w:hAnsi="Calibri Light" w:cs="Calibri Light"/>
          <w:sz w:val="22"/>
          <w:szCs w:val="22"/>
        </w:rPr>
        <w:t xml:space="preserve"> Wai Ariki)</w:t>
      </w:r>
      <w:r w:rsidRPr="00DA663C">
        <w:rPr>
          <w:rFonts w:ascii="Calibri Light" w:hAnsi="Calibri Light" w:cs="Calibri Light"/>
          <w:sz w:val="22"/>
          <w:szCs w:val="22"/>
        </w:rPr>
        <w:t xml:space="preserve"> welcomes the opportunity to provide information to inform the Aotearoa New Zealand’s fifth periodic </w:t>
      </w:r>
      <w:r w:rsidR="006C3EBC" w:rsidRPr="00DA663C">
        <w:rPr>
          <w:rFonts w:ascii="Calibri Light" w:hAnsi="Calibri Light" w:cs="Calibri Light"/>
          <w:sz w:val="22"/>
          <w:szCs w:val="22"/>
        </w:rPr>
        <w:t>report</w:t>
      </w:r>
      <w:r w:rsidR="05ED737A" w:rsidRPr="00DA663C">
        <w:rPr>
          <w:rFonts w:ascii="Calibri Light" w:hAnsi="Calibri Light" w:cs="Calibri Light"/>
          <w:sz w:val="22"/>
          <w:szCs w:val="22"/>
        </w:rPr>
        <w:t xml:space="preserve"> on implementation of the International Covenant on Economic, Social and Cultural Rights (ICESCR)</w:t>
      </w:r>
      <w:r w:rsidRPr="00DA663C">
        <w:rPr>
          <w:rFonts w:ascii="Calibri Light" w:hAnsi="Calibri Light" w:cs="Calibri Light"/>
          <w:sz w:val="22"/>
          <w:szCs w:val="22"/>
        </w:rPr>
        <w:t>.</w:t>
      </w:r>
    </w:p>
    <w:p w14:paraId="048CBDBB" w14:textId="275836E7" w:rsidR="002D5583" w:rsidRPr="00DA663C" w:rsidRDefault="2781335B" w:rsidP="003C7168">
      <w:pPr>
        <w:pStyle w:val="ListParagraph"/>
        <w:numPr>
          <w:ilvl w:val="1"/>
          <w:numId w:val="3"/>
        </w:numPr>
        <w:spacing w:line="276" w:lineRule="auto"/>
        <w:ind w:hanging="731"/>
        <w:contextualSpacing w:val="0"/>
        <w:jc w:val="both"/>
        <w:rPr>
          <w:rFonts w:ascii="Calibri Light" w:hAnsi="Calibri Light" w:cs="Calibri Light"/>
          <w:sz w:val="22"/>
          <w:szCs w:val="22"/>
        </w:rPr>
      </w:pP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Wai Ariki is a nationally leading centre on law and policy supportive of Indigenous peoples’ rights. Our work includes </w:t>
      </w:r>
      <w:r w:rsidR="55948DDE" w:rsidRPr="00DA663C">
        <w:rPr>
          <w:rFonts w:ascii="Calibri Light" w:hAnsi="Calibri Light" w:cs="Calibri Light"/>
          <w:sz w:val="22"/>
          <w:szCs w:val="22"/>
        </w:rPr>
        <w:t xml:space="preserve">internationally published </w:t>
      </w:r>
      <w:r w:rsidRPr="00DA663C">
        <w:rPr>
          <w:rFonts w:ascii="Calibri Light" w:hAnsi="Calibri Light" w:cs="Calibri Light"/>
          <w:sz w:val="22"/>
          <w:szCs w:val="22"/>
        </w:rPr>
        <w:t xml:space="preserve">research, an array of courses, internships and scholarships, expert evidence submissions in </w:t>
      </w:r>
      <w:r w:rsidR="031582D7" w:rsidRPr="00DA663C">
        <w:rPr>
          <w:rFonts w:ascii="Calibri Light" w:hAnsi="Calibri Light" w:cs="Calibri Light"/>
          <w:sz w:val="22"/>
          <w:szCs w:val="22"/>
        </w:rPr>
        <w:t xml:space="preserve">legal proceedings, </w:t>
      </w:r>
      <w:r w:rsidRPr="00DA663C">
        <w:rPr>
          <w:rFonts w:ascii="Calibri Light" w:hAnsi="Calibri Light" w:cs="Calibri Light"/>
          <w:sz w:val="22"/>
          <w:szCs w:val="22"/>
        </w:rPr>
        <w:t>partnerships and collaborations with domestic and international organisations</w:t>
      </w:r>
      <w:r w:rsidR="003503BB" w:rsidRPr="00DA663C">
        <w:rPr>
          <w:rFonts w:ascii="Calibri Light" w:hAnsi="Calibri Light" w:cs="Calibri Light"/>
          <w:sz w:val="22"/>
          <w:szCs w:val="22"/>
        </w:rPr>
        <w:t xml:space="preserve">, </w:t>
      </w:r>
      <w:r w:rsidRPr="00DA663C">
        <w:rPr>
          <w:rFonts w:ascii="Calibri Light" w:hAnsi="Calibri Light" w:cs="Calibri Light"/>
          <w:sz w:val="22"/>
          <w:szCs w:val="22"/>
        </w:rPr>
        <w:t>including the United Nations</w:t>
      </w:r>
      <w:r w:rsidR="003503BB" w:rsidRPr="00DA663C">
        <w:rPr>
          <w:rFonts w:ascii="Calibri Light" w:hAnsi="Calibri Light" w:cs="Calibri Light"/>
          <w:sz w:val="22"/>
          <w:szCs w:val="22"/>
        </w:rPr>
        <w:t xml:space="preserve"> and universities around the globe,</w:t>
      </w:r>
      <w:r w:rsidRPr="00DA663C">
        <w:rPr>
          <w:rFonts w:ascii="Calibri Light" w:hAnsi="Calibri Light" w:cs="Calibri Light"/>
          <w:sz w:val="22"/>
          <w:szCs w:val="22"/>
        </w:rPr>
        <w:t xml:space="preserve"> and </w:t>
      </w:r>
      <w:r w:rsidR="003503BB" w:rsidRPr="00DA663C">
        <w:rPr>
          <w:rFonts w:ascii="Calibri Light" w:hAnsi="Calibri Light" w:cs="Calibri Light"/>
          <w:sz w:val="22"/>
          <w:szCs w:val="22"/>
        </w:rPr>
        <w:t xml:space="preserve">renowned </w:t>
      </w:r>
      <w:r w:rsidRPr="00DA663C">
        <w:rPr>
          <w:rFonts w:ascii="Calibri Light" w:hAnsi="Calibri Light" w:cs="Calibri Light"/>
          <w:sz w:val="22"/>
          <w:szCs w:val="22"/>
        </w:rPr>
        <w:t>scholars. We regularly contribute to public discourse in Aotearoa New Zealand and globally.</w:t>
      </w:r>
      <w:r w:rsidR="002D5583" w:rsidRPr="00DA663C">
        <w:rPr>
          <w:rFonts w:ascii="Calibri Light" w:hAnsi="Calibri Light" w:cs="Calibri Light"/>
          <w:sz w:val="22"/>
          <w:szCs w:val="22"/>
        </w:rPr>
        <w:t xml:space="preserve"> </w:t>
      </w:r>
    </w:p>
    <w:p w14:paraId="6E5683D8" w14:textId="47FF3D7F" w:rsidR="02AEACDC" w:rsidRPr="00DA663C" w:rsidRDefault="02AEACDC"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This submission focuses on </w:t>
      </w:r>
      <w:r w:rsidR="000468D9" w:rsidRPr="00DA663C">
        <w:rPr>
          <w:rFonts w:ascii="Calibri Light" w:hAnsi="Calibri Light" w:cs="Calibri Light"/>
          <w:sz w:val="22"/>
          <w:szCs w:val="22"/>
        </w:rPr>
        <w:t xml:space="preserve">the </w:t>
      </w:r>
      <w:r w:rsidR="009B6F3A" w:rsidRPr="00DA663C">
        <w:rPr>
          <w:rFonts w:ascii="Calibri Light" w:hAnsi="Calibri Light" w:cs="Calibri Light"/>
          <w:sz w:val="22"/>
          <w:szCs w:val="22"/>
        </w:rPr>
        <w:t>insufficient constitutional protections of the ICESCR rights</w:t>
      </w:r>
      <w:r w:rsidR="008959AE" w:rsidRPr="00DA663C">
        <w:rPr>
          <w:rFonts w:ascii="Calibri Light" w:hAnsi="Calibri Light" w:cs="Calibri Light"/>
          <w:sz w:val="22"/>
          <w:szCs w:val="22"/>
        </w:rPr>
        <w:t xml:space="preserve"> within Aotearoa New Zealand</w:t>
      </w:r>
      <w:r w:rsidR="009B6F3A" w:rsidRPr="00DA663C">
        <w:rPr>
          <w:rFonts w:ascii="Calibri Light" w:hAnsi="Calibri Light" w:cs="Calibri Light"/>
          <w:sz w:val="22"/>
          <w:szCs w:val="22"/>
        </w:rPr>
        <w:t xml:space="preserve">, and the </w:t>
      </w:r>
      <w:r w:rsidR="008959AE" w:rsidRPr="00DA663C">
        <w:rPr>
          <w:rFonts w:ascii="Calibri Light" w:hAnsi="Calibri Light" w:cs="Calibri Light"/>
          <w:sz w:val="22"/>
          <w:szCs w:val="22"/>
        </w:rPr>
        <w:t xml:space="preserve">disproportionate vulnerability of the economic, </w:t>
      </w:r>
      <w:r w:rsidR="008959AE" w:rsidRPr="00DA663C">
        <w:rPr>
          <w:rFonts w:ascii="Calibri Light" w:hAnsi="Calibri Light" w:cs="Calibri Light"/>
          <w:sz w:val="22"/>
          <w:szCs w:val="22"/>
        </w:rPr>
        <w:lastRenderedPageBreak/>
        <w:t xml:space="preserve">social and cultural rights </w:t>
      </w:r>
      <w:r w:rsidR="00C000DB" w:rsidRPr="00DA663C">
        <w:rPr>
          <w:rFonts w:ascii="Calibri Light" w:hAnsi="Calibri Light" w:cs="Calibri Light"/>
          <w:sz w:val="22"/>
          <w:szCs w:val="22"/>
        </w:rPr>
        <w:t>for tāngata whenua.</w:t>
      </w:r>
      <w:r w:rsidR="00C000DB" w:rsidRPr="00DA663C">
        <w:rPr>
          <w:rStyle w:val="FootnoteReference"/>
          <w:rFonts w:ascii="Calibri Light" w:hAnsi="Calibri Light" w:cs="Calibri Light"/>
          <w:sz w:val="22"/>
          <w:szCs w:val="22"/>
        </w:rPr>
        <w:footnoteReference w:id="2"/>
      </w:r>
      <w:r w:rsidR="00C000DB" w:rsidRPr="00DA663C">
        <w:rPr>
          <w:rFonts w:ascii="Calibri Light" w:hAnsi="Calibri Light" w:cs="Calibri Light"/>
          <w:sz w:val="22"/>
          <w:szCs w:val="22"/>
        </w:rPr>
        <w:t xml:space="preserve"> Our primary recommendation is that Aotearoa New Zealand must include economic, social and cultural rights in its constitution</w:t>
      </w:r>
      <w:r w:rsidR="006C3EBC" w:rsidRPr="00DA663C">
        <w:rPr>
          <w:rFonts w:ascii="Calibri Light" w:hAnsi="Calibri Light" w:cs="Calibri Light"/>
          <w:sz w:val="22"/>
          <w:szCs w:val="22"/>
        </w:rPr>
        <w:t xml:space="preserve"> so that they </w:t>
      </w:r>
      <w:r w:rsidR="00BD0CAC" w:rsidRPr="00DA663C">
        <w:rPr>
          <w:rFonts w:ascii="Calibri Light" w:hAnsi="Calibri Light" w:cs="Calibri Light"/>
          <w:sz w:val="22"/>
          <w:szCs w:val="22"/>
        </w:rPr>
        <w:t>are enforceable, including when legislation breaches them</w:t>
      </w:r>
      <w:r w:rsidR="00C000DB" w:rsidRPr="00DA663C">
        <w:rPr>
          <w:rFonts w:ascii="Calibri Light" w:hAnsi="Calibri Light" w:cs="Calibri Light"/>
          <w:sz w:val="22"/>
          <w:szCs w:val="22"/>
        </w:rPr>
        <w:t>.</w:t>
      </w:r>
    </w:p>
    <w:p w14:paraId="5CF20AAB" w14:textId="1374793F" w:rsidR="00D10F40" w:rsidRPr="00DA663C" w:rsidRDefault="00D10F40" w:rsidP="003C7168">
      <w:pPr>
        <w:pStyle w:val="Heading1"/>
        <w:spacing w:line="276" w:lineRule="auto"/>
        <w:jc w:val="both"/>
        <w:rPr>
          <w:rFonts w:ascii="Calibri Light" w:hAnsi="Calibri Light" w:cs="Calibri Light"/>
          <w:b w:val="0"/>
          <w:bCs w:val="0"/>
          <w:sz w:val="22"/>
          <w:szCs w:val="22"/>
        </w:rPr>
      </w:pPr>
      <w:r w:rsidRPr="00DA663C">
        <w:rPr>
          <w:rFonts w:ascii="Calibri Light" w:hAnsi="Calibri Light" w:cs="Calibri Light"/>
          <w:b w:val="0"/>
          <w:bCs w:val="0"/>
          <w:sz w:val="22"/>
          <w:szCs w:val="22"/>
        </w:rPr>
        <w:t>CONSTITUTIONAL FRAMEWORK</w:t>
      </w:r>
    </w:p>
    <w:p w14:paraId="13F19781" w14:textId="56872474" w:rsidR="00680FB3" w:rsidRPr="00DA663C" w:rsidRDefault="00680FB3" w:rsidP="003C7168">
      <w:pPr>
        <w:spacing w:line="276" w:lineRule="auto"/>
        <w:ind w:left="709"/>
        <w:jc w:val="both"/>
        <w:rPr>
          <w:rFonts w:ascii="Calibri Light" w:hAnsi="Calibri Light" w:cs="Calibri Light"/>
          <w:sz w:val="22"/>
          <w:szCs w:val="22"/>
        </w:rPr>
      </w:pP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w:t>
      </w:r>
      <w:proofErr w:type="spellEnd"/>
      <w:r w:rsidRPr="00DA663C">
        <w:rPr>
          <w:rFonts w:ascii="Calibri Light" w:hAnsi="Calibri Light" w:cs="Calibri Light"/>
          <w:sz w:val="22"/>
          <w:szCs w:val="22"/>
        </w:rPr>
        <w:t xml:space="preserve"> o Waitangi</w:t>
      </w:r>
    </w:p>
    <w:p w14:paraId="2F068C72" w14:textId="3AF0D71B" w:rsidR="00913653" w:rsidRPr="00DA663C" w:rsidRDefault="00754B5D" w:rsidP="003C7168">
      <w:pPr>
        <w:pStyle w:val="ListParagraph"/>
        <w:numPr>
          <w:ilvl w:val="1"/>
          <w:numId w:val="3"/>
        </w:numPr>
        <w:spacing w:line="276" w:lineRule="auto"/>
        <w:ind w:hanging="731"/>
        <w:contextualSpacing w:val="0"/>
        <w:jc w:val="both"/>
        <w:rPr>
          <w:rFonts w:ascii="Calibri Light" w:hAnsi="Calibri Light" w:cs="Calibri Light"/>
          <w:sz w:val="22"/>
          <w:szCs w:val="22"/>
        </w:rPr>
      </w:pP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w:t>
      </w:r>
      <w:proofErr w:type="spellEnd"/>
      <w:r w:rsidRPr="00DA663C">
        <w:rPr>
          <w:rFonts w:ascii="Calibri Light" w:hAnsi="Calibri Light" w:cs="Calibri Light"/>
          <w:sz w:val="22"/>
          <w:szCs w:val="22"/>
        </w:rPr>
        <w:t xml:space="preserve"> o Waitangi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w:t>
      </w:r>
      <w:proofErr w:type="spellEnd"/>
      <w:r w:rsidRPr="00DA663C">
        <w:rPr>
          <w:rFonts w:ascii="Calibri Light" w:hAnsi="Calibri Light" w:cs="Calibri Light"/>
          <w:sz w:val="22"/>
          <w:szCs w:val="22"/>
        </w:rPr>
        <w:t>) is Aotearoa New Zealand’s founding constitutional document</w:t>
      </w:r>
      <w:r w:rsidR="00BD0CAC" w:rsidRPr="00DA663C">
        <w:rPr>
          <w:rFonts w:ascii="Calibri Light" w:hAnsi="Calibri Light" w:cs="Calibri Light"/>
          <w:sz w:val="22"/>
          <w:szCs w:val="22"/>
        </w:rPr>
        <w:t xml:space="preserve">. </w:t>
      </w:r>
      <w:r w:rsidRPr="00DA663C">
        <w:rPr>
          <w:rFonts w:ascii="Calibri Light" w:hAnsi="Calibri Light" w:cs="Calibri Light"/>
          <w:sz w:val="22"/>
          <w:szCs w:val="22"/>
        </w:rPr>
        <w:t xml:space="preserve"> </w:t>
      </w:r>
      <w:proofErr w:type="spellStart"/>
      <w:r w:rsidR="00BA57FC" w:rsidRPr="00DA663C">
        <w:rPr>
          <w:rFonts w:ascii="Calibri Light" w:hAnsi="Calibri Light" w:cs="Calibri Light"/>
          <w:sz w:val="22"/>
          <w:szCs w:val="22"/>
        </w:rPr>
        <w:t>Te</w:t>
      </w:r>
      <w:proofErr w:type="spellEnd"/>
      <w:r w:rsidR="00BA57FC" w:rsidRPr="00DA663C">
        <w:rPr>
          <w:rFonts w:ascii="Calibri Light" w:hAnsi="Calibri Light" w:cs="Calibri Light"/>
          <w:sz w:val="22"/>
          <w:szCs w:val="22"/>
        </w:rPr>
        <w:t xml:space="preserve"> </w:t>
      </w:r>
      <w:proofErr w:type="spellStart"/>
      <w:r w:rsidR="00BA57FC" w:rsidRPr="00DA663C">
        <w:rPr>
          <w:rFonts w:ascii="Calibri Light" w:hAnsi="Calibri Light" w:cs="Calibri Light"/>
          <w:sz w:val="22"/>
          <w:szCs w:val="22"/>
        </w:rPr>
        <w:t>Tiriti</w:t>
      </w:r>
      <w:proofErr w:type="spellEnd"/>
      <w:r w:rsidR="00BA57FC" w:rsidRPr="00DA663C">
        <w:rPr>
          <w:rFonts w:ascii="Calibri Light" w:hAnsi="Calibri Light" w:cs="Calibri Light"/>
          <w:sz w:val="22"/>
          <w:szCs w:val="22"/>
        </w:rPr>
        <w:t xml:space="preserve"> is a key constitutional protection of human rights, particularly for tāngata whenua</w:t>
      </w:r>
      <w:r w:rsidR="007527D7" w:rsidRPr="00DA663C">
        <w:rPr>
          <w:rStyle w:val="FootnoteReference"/>
          <w:rFonts w:ascii="Calibri Light" w:hAnsi="Calibri Light" w:cs="Calibri Light"/>
          <w:sz w:val="22"/>
          <w:szCs w:val="22"/>
        </w:rPr>
        <w:footnoteReference w:id="3"/>
      </w:r>
      <w:r w:rsidR="003503BB" w:rsidRPr="00DA663C">
        <w:rPr>
          <w:rFonts w:ascii="Calibri Light" w:hAnsi="Calibri Light" w:cs="Calibri Light"/>
          <w:sz w:val="22"/>
          <w:szCs w:val="22"/>
        </w:rPr>
        <w:t xml:space="preserve"> However, it cannot be enforced unless</w:t>
      </w:r>
      <w:r w:rsidR="005E55CB" w:rsidRPr="00DA663C">
        <w:rPr>
          <w:rFonts w:ascii="Calibri Light" w:hAnsi="Calibri Light" w:cs="Calibri Light"/>
          <w:sz w:val="22"/>
          <w:szCs w:val="22"/>
        </w:rPr>
        <w:t xml:space="preserve"> </w:t>
      </w:r>
      <w:r w:rsidR="003503BB" w:rsidRPr="00DA663C">
        <w:rPr>
          <w:rFonts w:ascii="Calibri Light" w:hAnsi="Calibri Light" w:cs="Calibri Light"/>
          <w:sz w:val="22"/>
          <w:szCs w:val="22"/>
        </w:rPr>
        <w:t>incorporated into legislation</w:t>
      </w:r>
      <w:r w:rsidR="00BD0CAC" w:rsidRPr="00DA663C">
        <w:rPr>
          <w:rFonts w:ascii="Calibri Light" w:hAnsi="Calibri Light" w:cs="Calibri Light"/>
          <w:sz w:val="22"/>
          <w:szCs w:val="22"/>
        </w:rPr>
        <w:t xml:space="preserve"> and, even when it is incorporated, is overridden when legislation breaching </w:t>
      </w:r>
      <w:proofErr w:type="spellStart"/>
      <w:r w:rsidR="00BD0CAC" w:rsidRPr="00DA663C">
        <w:rPr>
          <w:rFonts w:ascii="Calibri Light" w:hAnsi="Calibri Light" w:cs="Calibri Light"/>
          <w:sz w:val="22"/>
          <w:szCs w:val="22"/>
        </w:rPr>
        <w:t>te</w:t>
      </w:r>
      <w:proofErr w:type="spellEnd"/>
      <w:r w:rsidR="00BD0CAC" w:rsidRPr="00DA663C">
        <w:rPr>
          <w:rFonts w:ascii="Calibri Light" w:hAnsi="Calibri Light" w:cs="Calibri Light"/>
          <w:sz w:val="22"/>
          <w:szCs w:val="22"/>
        </w:rPr>
        <w:t xml:space="preserve"> </w:t>
      </w:r>
      <w:proofErr w:type="spellStart"/>
      <w:r w:rsidR="00BD0CAC" w:rsidRPr="00DA663C">
        <w:rPr>
          <w:rFonts w:ascii="Calibri Light" w:hAnsi="Calibri Light" w:cs="Calibri Light"/>
          <w:sz w:val="22"/>
          <w:szCs w:val="22"/>
        </w:rPr>
        <w:t>Tiriti</w:t>
      </w:r>
      <w:proofErr w:type="spellEnd"/>
      <w:r w:rsidR="00BD0CAC" w:rsidRPr="00DA663C">
        <w:rPr>
          <w:rFonts w:ascii="Calibri Light" w:hAnsi="Calibri Light" w:cs="Calibri Light"/>
          <w:sz w:val="22"/>
          <w:szCs w:val="22"/>
        </w:rPr>
        <w:t xml:space="preserve"> is enacted</w:t>
      </w:r>
      <w:r w:rsidR="003503BB" w:rsidRPr="00DA663C">
        <w:rPr>
          <w:rFonts w:ascii="Calibri Light" w:hAnsi="Calibri Light" w:cs="Calibri Light"/>
          <w:sz w:val="22"/>
          <w:szCs w:val="22"/>
        </w:rPr>
        <w:t xml:space="preserve">.  </w:t>
      </w:r>
    </w:p>
    <w:p w14:paraId="187AF61F" w14:textId="4216B989" w:rsidR="00913653" w:rsidRPr="00DA663C" w:rsidRDefault="00913653" w:rsidP="003C7168">
      <w:pPr>
        <w:pStyle w:val="ListParagraph"/>
        <w:numPr>
          <w:ilvl w:val="1"/>
          <w:numId w:val="3"/>
        </w:numPr>
        <w:spacing w:line="276" w:lineRule="auto"/>
        <w:ind w:hanging="731"/>
        <w:contextualSpacing w:val="0"/>
        <w:jc w:val="both"/>
        <w:rPr>
          <w:rFonts w:ascii="Calibri Light" w:hAnsi="Calibri Light" w:cs="Calibri Light"/>
          <w:sz w:val="22"/>
          <w:szCs w:val="22"/>
        </w:rPr>
      </w:pP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Tiriti’s</w:t>
      </w:r>
      <w:proofErr w:type="spellEnd"/>
      <w:r w:rsidRPr="00DA663C">
        <w:rPr>
          <w:rFonts w:ascii="Calibri Light" w:hAnsi="Calibri Light" w:cs="Calibri Light"/>
          <w:sz w:val="22"/>
          <w:szCs w:val="22"/>
        </w:rPr>
        <w:t xml:space="preserve"> art 2 guarantee of </w:t>
      </w:r>
      <w:proofErr w:type="spellStart"/>
      <w:r w:rsidRPr="00DA663C">
        <w:rPr>
          <w:rFonts w:ascii="Calibri Light" w:hAnsi="Calibri Light" w:cs="Calibri Light"/>
          <w:sz w:val="22"/>
          <w:szCs w:val="22"/>
        </w:rPr>
        <w:t>tino</w:t>
      </w:r>
      <w:proofErr w:type="spellEnd"/>
      <w:r w:rsidRPr="00DA663C">
        <w:rPr>
          <w:rFonts w:ascii="Calibri Light" w:hAnsi="Calibri Light" w:cs="Calibri Light"/>
          <w:sz w:val="22"/>
          <w:szCs w:val="22"/>
        </w:rPr>
        <w:t xml:space="preserve"> rangatiratanga is a protection of many ICESCR rights for Māori, particularly the art 1 right to self-determination, and the art 15(1)(a) right to take part in cultural life. Māori </w:t>
      </w:r>
      <w:proofErr w:type="spellStart"/>
      <w:r w:rsidRPr="00DA663C">
        <w:rPr>
          <w:rFonts w:ascii="Calibri Light" w:hAnsi="Calibri Light" w:cs="Calibri Light"/>
          <w:sz w:val="22"/>
          <w:szCs w:val="22"/>
        </w:rPr>
        <w:t>tino</w:t>
      </w:r>
      <w:proofErr w:type="spellEnd"/>
      <w:r w:rsidRPr="00DA663C">
        <w:rPr>
          <w:rFonts w:ascii="Calibri Light" w:hAnsi="Calibri Light" w:cs="Calibri Light"/>
          <w:sz w:val="22"/>
          <w:szCs w:val="22"/>
        </w:rPr>
        <w:t xml:space="preserve"> rangatiratanga is not provided for in New Zealand’s constitution or law.</w:t>
      </w:r>
      <w:r w:rsidRPr="00DA663C">
        <w:rPr>
          <w:rStyle w:val="FootnoteReference"/>
          <w:rFonts w:ascii="Calibri Light" w:hAnsi="Calibri Light" w:cs="Calibri Light"/>
          <w:sz w:val="22"/>
          <w:szCs w:val="22"/>
        </w:rPr>
        <w:footnoteReference w:id="4"/>
      </w:r>
      <w:r w:rsidRPr="00DA663C">
        <w:rPr>
          <w:rFonts w:ascii="Calibri Light" w:hAnsi="Calibri Light" w:cs="Calibri Light"/>
          <w:sz w:val="22"/>
          <w:szCs w:val="22"/>
        </w:rPr>
        <w:t xml:space="preserve"> </w:t>
      </w:r>
    </w:p>
    <w:p w14:paraId="2C31BDC0" w14:textId="3C4CAC3D" w:rsidR="003503BB" w:rsidRPr="00DA663C" w:rsidRDefault="003503BB"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Breaches of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w:t>
      </w:r>
      <w:proofErr w:type="spellEnd"/>
      <w:r w:rsidRPr="00DA663C">
        <w:rPr>
          <w:rFonts w:ascii="Calibri Light" w:hAnsi="Calibri Light" w:cs="Calibri Light"/>
          <w:sz w:val="22"/>
          <w:szCs w:val="22"/>
        </w:rPr>
        <w:t xml:space="preserve"> continue to occur and Māori have limited legal remedy or </w:t>
      </w:r>
      <w:r w:rsidR="00BD0CAC" w:rsidRPr="00DA663C">
        <w:rPr>
          <w:rFonts w:ascii="Calibri Light" w:hAnsi="Calibri Light" w:cs="Calibri Light"/>
          <w:sz w:val="22"/>
          <w:szCs w:val="22"/>
        </w:rPr>
        <w:t xml:space="preserve">protection to </w:t>
      </w:r>
      <w:r w:rsidRPr="00DA663C">
        <w:rPr>
          <w:rFonts w:ascii="Calibri Light" w:hAnsi="Calibri Light" w:cs="Calibri Light"/>
          <w:sz w:val="22"/>
          <w:szCs w:val="22"/>
        </w:rPr>
        <w:t xml:space="preserve">prevent respective governments ongoing disregard for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w:t>
      </w:r>
      <w:proofErr w:type="spellEnd"/>
      <w:r w:rsidRPr="00DA663C">
        <w:rPr>
          <w:rFonts w:ascii="Calibri Light" w:hAnsi="Calibri Light" w:cs="Calibri Light"/>
          <w:sz w:val="22"/>
          <w:szCs w:val="22"/>
        </w:rPr>
        <w:t xml:space="preserve">.  </w:t>
      </w:r>
    </w:p>
    <w:p w14:paraId="52B9D1AA" w14:textId="77777777" w:rsidR="00BD0CAC" w:rsidRPr="00DA663C" w:rsidRDefault="005262F0"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The most obvious</w:t>
      </w:r>
      <w:r w:rsidR="00BD0CAC" w:rsidRPr="00DA663C">
        <w:rPr>
          <w:rFonts w:ascii="Calibri Light" w:hAnsi="Calibri Light" w:cs="Calibri Light"/>
          <w:sz w:val="22"/>
          <w:szCs w:val="22"/>
        </w:rPr>
        <w:t xml:space="preserve"> contemporary</w:t>
      </w:r>
      <w:r w:rsidRPr="00DA663C">
        <w:rPr>
          <w:rFonts w:ascii="Calibri Light" w:hAnsi="Calibri Light" w:cs="Calibri Light"/>
          <w:sz w:val="22"/>
          <w:szCs w:val="22"/>
        </w:rPr>
        <w:t xml:space="preserve"> example of</w:t>
      </w:r>
      <w:r w:rsidR="00BD0CAC" w:rsidRPr="00DA663C">
        <w:rPr>
          <w:rFonts w:ascii="Calibri Light" w:hAnsi="Calibri Light" w:cs="Calibri Light"/>
          <w:sz w:val="22"/>
          <w:szCs w:val="22"/>
        </w:rPr>
        <w:t xml:space="preserve"> ongoing breaches</w:t>
      </w:r>
      <w:r w:rsidRPr="00DA663C">
        <w:rPr>
          <w:rFonts w:ascii="Calibri Light" w:hAnsi="Calibri Light" w:cs="Calibri Light"/>
          <w:sz w:val="22"/>
          <w:szCs w:val="22"/>
        </w:rPr>
        <w:t xml:space="preserve"> is the Principles of the Treaty of Waitangi Bill, which the draft fifth periodic report does mention, and needs to.</w:t>
      </w:r>
      <w:r w:rsidRPr="00DA663C">
        <w:rPr>
          <w:rStyle w:val="FootnoteReference"/>
          <w:rFonts w:ascii="Calibri Light" w:hAnsi="Calibri Light" w:cs="Calibri Light"/>
          <w:sz w:val="22"/>
          <w:szCs w:val="22"/>
        </w:rPr>
        <w:footnoteReference w:id="5"/>
      </w:r>
      <w:r w:rsidRPr="00DA663C">
        <w:rPr>
          <w:rFonts w:ascii="Calibri Light" w:hAnsi="Calibri Light" w:cs="Calibri Light"/>
          <w:sz w:val="22"/>
          <w:szCs w:val="22"/>
        </w:rPr>
        <w:t xml:space="preserve"> While the report acknowledge</w:t>
      </w:r>
      <w:r w:rsidR="00BD0CAC" w:rsidRPr="00DA663C">
        <w:rPr>
          <w:rFonts w:ascii="Calibri Light" w:hAnsi="Calibri Light" w:cs="Calibri Light"/>
          <w:sz w:val="22"/>
          <w:szCs w:val="22"/>
        </w:rPr>
        <w:t>s</w:t>
      </w:r>
      <w:r w:rsidRPr="00DA663C">
        <w:rPr>
          <w:rFonts w:ascii="Calibri Light" w:hAnsi="Calibri Light" w:cs="Calibri Light"/>
          <w:sz w:val="22"/>
          <w:szCs w:val="22"/>
        </w:rPr>
        <w:t xml:space="preserve"> the findings of the Waitangi Tribunal that this Bill is unfair, discriminatory and inconsistent with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w:t>
      </w:r>
      <w:proofErr w:type="spellEnd"/>
      <w:r w:rsidRPr="00DA663C">
        <w:rPr>
          <w:rFonts w:ascii="Calibri Light" w:hAnsi="Calibri Light" w:cs="Calibri Light"/>
          <w:sz w:val="22"/>
          <w:szCs w:val="22"/>
        </w:rPr>
        <w:t xml:space="preserve"> itself, </w:t>
      </w:r>
      <w:r w:rsidR="00BD0CAC" w:rsidRPr="00DA663C">
        <w:rPr>
          <w:rFonts w:ascii="Calibri Light" w:hAnsi="Calibri Light" w:cs="Calibri Light"/>
          <w:sz w:val="22"/>
          <w:szCs w:val="22"/>
        </w:rPr>
        <w:t>it</w:t>
      </w:r>
      <w:r w:rsidRPr="00DA663C">
        <w:rPr>
          <w:rFonts w:ascii="Calibri Light" w:hAnsi="Calibri Light" w:cs="Calibri Light"/>
          <w:sz w:val="22"/>
          <w:szCs w:val="22"/>
        </w:rPr>
        <w:t xml:space="preserve"> fails to note that the Bill itself is harmful, regardless of whether it passes into law. </w:t>
      </w:r>
    </w:p>
    <w:p w14:paraId="7811C05A" w14:textId="6525F421" w:rsidR="00680FB3" w:rsidRPr="00DA663C" w:rsidRDefault="005262F0"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The draft fifth periodic report also attempts to </w:t>
      </w:r>
      <w:r w:rsidR="00BD0CAC" w:rsidRPr="00DA663C">
        <w:rPr>
          <w:rFonts w:ascii="Calibri Light" w:hAnsi="Calibri Light" w:cs="Calibri Light"/>
          <w:sz w:val="22"/>
          <w:szCs w:val="22"/>
        </w:rPr>
        <w:t>describe</w:t>
      </w:r>
      <w:r w:rsidRPr="00DA663C">
        <w:rPr>
          <w:rFonts w:ascii="Calibri Light" w:hAnsi="Calibri Light" w:cs="Calibri Light"/>
          <w:sz w:val="22"/>
          <w:szCs w:val="22"/>
        </w:rPr>
        <w:t xml:space="preserve"> the Government’s plans to remove legislative references to the Treaty principles as an enhancement of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t>
      </w:r>
      <w:proofErr w:type="spellStart"/>
      <w:r w:rsidRPr="00DA663C">
        <w:rPr>
          <w:rFonts w:ascii="Calibri Light" w:hAnsi="Calibri Light" w:cs="Calibri Light"/>
          <w:sz w:val="22"/>
          <w:szCs w:val="22"/>
        </w:rPr>
        <w:t>Tiriti’s</w:t>
      </w:r>
      <w:proofErr w:type="spellEnd"/>
      <w:r w:rsidRPr="00DA663C">
        <w:rPr>
          <w:rFonts w:ascii="Calibri Light" w:hAnsi="Calibri Light" w:cs="Calibri Light"/>
          <w:sz w:val="22"/>
          <w:szCs w:val="22"/>
        </w:rPr>
        <w:t xml:space="preserve"> legal effect, </w:t>
      </w:r>
      <w:r w:rsidR="00913653" w:rsidRPr="00DA663C">
        <w:rPr>
          <w:rFonts w:ascii="Calibri Light" w:hAnsi="Calibri Light" w:cs="Calibri Light"/>
          <w:sz w:val="22"/>
          <w:szCs w:val="22"/>
        </w:rPr>
        <w:t>when it patently does the opposite.</w:t>
      </w:r>
      <w:r w:rsidR="00913653" w:rsidRPr="00DA663C">
        <w:rPr>
          <w:rStyle w:val="FootnoteReference"/>
          <w:rFonts w:ascii="Calibri Light" w:hAnsi="Calibri Light" w:cs="Calibri Light"/>
          <w:sz w:val="22"/>
          <w:szCs w:val="22"/>
        </w:rPr>
        <w:footnoteReference w:id="6"/>
      </w:r>
      <w:r w:rsidR="00DA663C">
        <w:rPr>
          <w:rFonts w:ascii="Calibri Light" w:hAnsi="Calibri Light" w:cs="Calibri Light"/>
          <w:sz w:val="22"/>
          <w:szCs w:val="22"/>
        </w:rPr>
        <w:t xml:space="preserve"> The report needs to be amended on this point.</w:t>
      </w:r>
    </w:p>
    <w:p w14:paraId="3071C83E" w14:textId="6E8E18E8" w:rsidR="00754B5D" w:rsidRPr="00DA663C" w:rsidRDefault="006647E7"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In its 2018 concluding remarks, the Committee raised concern “that the Treaty of Waitangi is still not legally enforceable nor referred to in the Constitution Act, and that the recommendations of the Waitangi Tribunal are not binding and are frequently ignored by </w:t>
      </w:r>
      <w:r w:rsidRPr="00DA663C">
        <w:rPr>
          <w:rFonts w:ascii="Calibri Light" w:hAnsi="Calibri Light" w:cs="Calibri Light"/>
          <w:sz w:val="22"/>
          <w:szCs w:val="22"/>
        </w:rPr>
        <w:lastRenderedPageBreak/>
        <w:t>the Government.”</w:t>
      </w:r>
      <w:r w:rsidRPr="00DA663C">
        <w:rPr>
          <w:rStyle w:val="FootnoteReference"/>
          <w:rFonts w:ascii="Calibri Light" w:hAnsi="Calibri Light" w:cs="Calibri Light"/>
          <w:sz w:val="22"/>
          <w:szCs w:val="22"/>
        </w:rPr>
        <w:footnoteReference w:id="7"/>
      </w:r>
      <w:r w:rsidRPr="00DA663C">
        <w:rPr>
          <w:rFonts w:ascii="Calibri Light" w:hAnsi="Calibri Light" w:cs="Calibri Light"/>
          <w:sz w:val="22"/>
          <w:szCs w:val="22"/>
        </w:rPr>
        <w:t xml:space="preserve"> </w:t>
      </w:r>
      <w:r w:rsidR="00243928" w:rsidRPr="00DA663C">
        <w:rPr>
          <w:rFonts w:ascii="Calibri Light" w:hAnsi="Calibri Light" w:cs="Calibri Light"/>
          <w:sz w:val="22"/>
          <w:szCs w:val="22"/>
        </w:rPr>
        <w:t>We recommend that New Zealand’s draft fifth periodic report be amended to recognise the primacy</w:t>
      </w:r>
      <w:r w:rsidR="003503BB" w:rsidRPr="00DA663C">
        <w:rPr>
          <w:rFonts w:ascii="Calibri Light" w:hAnsi="Calibri Light" w:cs="Calibri Light"/>
          <w:sz w:val="22"/>
          <w:szCs w:val="22"/>
        </w:rPr>
        <w:t xml:space="preserve"> and foundational status</w:t>
      </w:r>
      <w:r w:rsidR="00243928" w:rsidRPr="00DA663C">
        <w:rPr>
          <w:rFonts w:ascii="Calibri Light" w:hAnsi="Calibri Light" w:cs="Calibri Light"/>
          <w:sz w:val="22"/>
          <w:szCs w:val="22"/>
        </w:rPr>
        <w:t xml:space="preserve"> of </w:t>
      </w:r>
      <w:proofErr w:type="spellStart"/>
      <w:r w:rsidR="00243928" w:rsidRPr="00DA663C">
        <w:rPr>
          <w:rFonts w:ascii="Calibri Light" w:hAnsi="Calibri Light" w:cs="Calibri Light"/>
          <w:sz w:val="22"/>
          <w:szCs w:val="22"/>
        </w:rPr>
        <w:t>te</w:t>
      </w:r>
      <w:proofErr w:type="spellEnd"/>
      <w:r w:rsidR="00243928" w:rsidRPr="00DA663C">
        <w:rPr>
          <w:rFonts w:ascii="Calibri Light" w:hAnsi="Calibri Light" w:cs="Calibri Light"/>
          <w:sz w:val="22"/>
          <w:szCs w:val="22"/>
        </w:rPr>
        <w:t xml:space="preserve"> </w:t>
      </w:r>
      <w:proofErr w:type="spellStart"/>
      <w:r w:rsidR="00243928" w:rsidRPr="00DA663C">
        <w:rPr>
          <w:rFonts w:ascii="Calibri Light" w:hAnsi="Calibri Light" w:cs="Calibri Light"/>
          <w:sz w:val="22"/>
          <w:szCs w:val="22"/>
        </w:rPr>
        <w:t>Tiriti</w:t>
      </w:r>
      <w:proofErr w:type="spellEnd"/>
      <w:r w:rsidR="00913653" w:rsidRPr="00DA663C">
        <w:rPr>
          <w:rFonts w:ascii="Calibri Light" w:hAnsi="Calibri Light" w:cs="Calibri Light"/>
          <w:sz w:val="22"/>
          <w:szCs w:val="22"/>
        </w:rPr>
        <w:t xml:space="preserve"> at </w:t>
      </w:r>
      <w:r w:rsidR="00243928" w:rsidRPr="00DA663C">
        <w:rPr>
          <w:rFonts w:ascii="Calibri Light" w:hAnsi="Calibri Light" w:cs="Calibri Light"/>
          <w:sz w:val="22"/>
          <w:szCs w:val="22"/>
        </w:rPr>
        <w:t>[6].</w:t>
      </w:r>
    </w:p>
    <w:p w14:paraId="20B3517E" w14:textId="5C507FC8" w:rsidR="00824C5B" w:rsidRPr="00DA663C" w:rsidRDefault="00824C5B" w:rsidP="003C7168">
      <w:pPr>
        <w:spacing w:line="276" w:lineRule="auto"/>
        <w:ind w:left="709"/>
        <w:jc w:val="both"/>
        <w:rPr>
          <w:rFonts w:ascii="Calibri Light" w:hAnsi="Calibri Light" w:cs="Calibri Light"/>
          <w:sz w:val="22"/>
          <w:szCs w:val="22"/>
        </w:rPr>
      </w:pPr>
      <w:r w:rsidRPr="00DA663C">
        <w:rPr>
          <w:rFonts w:ascii="Calibri Light" w:hAnsi="Calibri Light" w:cs="Calibri Light"/>
          <w:sz w:val="22"/>
          <w:szCs w:val="22"/>
        </w:rPr>
        <w:t>CESCR rights and a lack of enforceability</w:t>
      </w:r>
    </w:p>
    <w:p w14:paraId="7BE569B6" w14:textId="6EE47C63" w:rsidR="008E4FD5" w:rsidRPr="00DA663C" w:rsidRDefault="000D52EC"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Aotearoa New Zealand has a strong track record of entering international human rights treaties. However, as a dualist jurisdiction, its domestic incorporation of these standards and rights continues to be weak</w:t>
      </w:r>
      <w:r w:rsidR="008E4FD5" w:rsidRPr="00DA663C">
        <w:rPr>
          <w:rFonts w:ascii="Calibri Light" w:hAnsi="Calibri Light" w:cs="Calibri Light"/>
          <w:sz w:val="22"/>
          <w:szCs w:val="22"/>
        </w:rPr>
        <w:t xml:space="preserve"> and, like </w:t>
      </w:r>
      <w:proofErr w:type="spellStart"/>
      <w:r w:rsidR="008E4FD5" w:rsidRPr="00DA663C">
        <w:rPr>
          <w:rFonts w:ascii="Calibri Light" w:hAnsi="Calibri Light" w:cs="Calibri Light"/>
          <w:sz w:val="22"/>
          <w:szCs w:val="22"/>
        </w:rPr>
        <w:t>te</w:t>
      </w:r>
      <w:proofErr w:type="spellEnd"/>
      <w:r w:rsidR="008E4FD5" w:rsidRPr="00DA663C">
        <w:rPr>
          <w:rFonts w:ascii="Calibri Light" w:hAnsi="Calibri Light" w:cs="Calibri Light"/>
          <w:sz w:val="22"/>
          <w:szCs w:val="22"/>
        </w:rPr>
        <w:t xml:space="preserve"> </w:t>
      </w:r>
      <w:proofErr w:type="spellStart"/>
      <w:r w:rsidR="008E4FD5" w:rsidRPr="00DA663C">
        <w:rPr>
          <w:rFonts w:ascii="Calibri Light" w:hAnsi="Calibri Light" w:cs="Calibri Light"/>
          <w:sz w:val="22"/>
          <w:szCs w:val="22"/>
        </w:rPr>
        <w:t>Tiriti</w:t>
      </w:r>
      <w:proofErr w:type="spellEnd"/>
      <w:r w:rsidR="008E4FD5" w:rsidRPr="00DA663C">
        <w:rPr>
          <w:rFonts w:ascii="Calibri Light" w:hAnsi="Calibri Light" w:cs="Calibri Light"/>
          <w:sz w:val="22"/>
          <w:szCs w:val="22"/>
        </w:rPr>
        <w:t xml:space="preserve">, </w:t>
      </w:r>
      <w:r w:rsidR="00BD0CAC" w:rsidRPr="00DA663C">
        <w:rPr>
          <w:rFonts w:ascii="Calibri Light" w:hAnsi="Calibri Light" w:cs="Calibri Light"/>
          <w:sz w:val="22"/>
          <w:szCs w:val="22"/>
        </w:rPr>
        <w:t xml:space="preserve">they </w:t>
      </w:r>
      <w:r w:rsidR="008E4FD5" w:rsidRPr="00DA663C">
        <w:rPr>
          <w:rFonts w:ascii="Calibri Light" w:hAnsi="Calibri Light" w:cs="Calibri Light"/>
          <w:sz w:val="22"/>
          <w:szCs w:val="22"/>
        </w:rPr>
        <w:t>cannot be enforced when Parliament, ruled by the government of the day, chooses to override them</w:t>
      </w:r>
      <w:r w:rsidRPr="00DA663C">
        <w:rPr>
          <w:rFonts w:ascii="Calibri Light" w:hAnsi="Calibri Light" w:cs="Calibri Light"/>
          <w:sz w:val="22"/>
          <w:szCs w:val="22"/>
        </w:rPr>
        <w:t>.</w:t>
      </w:r>
      <w:r w:rsidR="00227F86" w:rsidRPr="00DA663C">
        <w:rPr>
          <w:rFonts w:ascii="Calibri Light" w:hAnsi="Calibri Light" w:cs="Calibri Light"/>
          <w:sz w:val="22"/>
          <w:szCs w:val="22"/>
        </w:rPr>
        <w:t xml:space="preserve"> </w:t>
      </w:r>
      <w:r w:rsidR="00362C34" w:rsidRPr="00DA663C">
        <w:rPr>
          <w:rFonts w:ascii="Calibri Light" w:hAnsi="Calibri Light" w:cs="Calibri Light"/>
          <w:sz w:val="22"/>
          <w:szCs w:val="22"/>
        </w:rPr>
        <w:t>Courts are limited to making declarations of inconsistency, which the Government must respond to,</w:t>
      </w:r>
      <w:r w:rsidR="00362C34" w:rsidRPr="00DA663C">
        <w:rPr>
          <w:rStyle w:val="FootnoteReference"/>
          <w:rFonts w:ascii="Calibri Light" w:hAnsi="Calibri Light" w:cs="Calibri Light"/>
          <w:sz w:val="22"/>
          <w:szCs w:val="22"/>
        </w:rPr>
        <w:footnoteReference w:id="8"/>
      </w:r>
      <w:r w:rsidR="00362C34" w:rsidRPr="00DA663C">
        <w:rPr>
          <w:rFonts w:ascii="Calibri Light" w:hAnsi="Calibri Light" w:cs="Calibri Light"/>
          <w:sz w:val="22"/>
          <w:szCs w:val="22"/>
        </w:rPr>
        <w:t xml:space="preserve"> but is not required to repeal such legislation.</w:t>
      </w:r>
    </w:p>
    <w:p w14:paraId="10EB81EC" w14:textId="6C2042F4" w:rsidR="00680FB3" w:rsidRPr="00DA663C" w:rsidRDefault="00325F33"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While New Zealand’s </w:t>
      </w:r>
      <w:r w:rsidR="000E2F7E" w:rsidRPr="00DA663C">
        <w:rPr>
          <w:rFonts w:ascii="Calibri Light" w:hAnsi="Calibri Light" w:cs="Calibri Light"/>
          <w:sz w:val="22"/>
          <w:szCs w:val="22"/>
        </w:rPr>
        <w:t xml:space="preserve">draft </w:t>
      </w:r>
      <w:r w:rsidRPr="00DA663C">
        <w:rPr>
          <w:rFonts w:ascii="Calibri Light" w:hAnsi="Calibri Light" w:cs="Calibri Light"/>
          <w:sz w:val="22"/>
          <w:szCs w:val="22"/>
        </w:rPr>
        <w:t xml:space="preserve">fifth periodic report </w:t>
      </w:r>
      <w:r w:rsidR="00566D0E" w:rsidRPr="00DA663C">
        <w:rPr>
          <w:rFonts w:ascii="Calibri Light" w:hAnsi="Calibri Light" w:cs="Calibri Light"/>
          <w:sz w:val="22"/>
          <w:szCs w:val="22"/>
        </w:rPr>
        <w:t>presents three main statutes as protecting human rights,</w:t>
      </w:r>
      <w:r w:rsidR="00566D0E" w:rsidRPr="00DA663C">
        <w:rPr>
          <w:rStyle w:val="FootnoteReference"/>
          <w:rFonts w:ascii="Calibri Light" w:hAnsi="Calibri Light" w:cs="Calibri Light"/>
          <w:sz w:val="22"/>
          <w:szCs w:val="22"/>
        </w:rPr>
        <w:footnoteReference w:id="9"/>
      </w:r>
      <w:r w:rsidR="00566D0E" w:rsidRPr="00DA663C">
        <w:rPr>
          <w:rFonts w:ascii="Calibri Light" w:hAnsi="Calibri Light" w:cs="Calibri Light"/>
          <w:sz w:val="22"/>
          <w:szCs w:val="22"/>
        </w:rPr>
        <w:t xml:space="preserve"> these do not significantly protect economic, social and cultural rights. </w:t>
      </w:r>
      <w:r w:rsidR="00541C81" w:rsidRPr="00DA663C">
        <w:rPr>
          <w:rFonts w:ascii="Calibri Light" w:hAnsi="Calibri Light" w:cs="Calibri Light"/>
          <w:sz w:val="22"/>
          <w:szCs w:val="22"/>
        </w:rPr>
        <w:t>T</w:t>
      </w:r>
      <w:r w:rsidR="00083892" w:rsidRPr="00DA663C">
        <w:rPr>
          <w:rFonts w:ascii="Calibri Light" w:hAnsi="Calibri Light" w:cs="Calibri Light"/>
          <w:sz w:val="22"/>
          <w:szCs w:val="22"/>
        </w:rPr>
        <w:t>he ICESCR rights</w:t>
      </w:r>
      <w:r w:rsidR="00541C81" w:rsidRPr="00DA663C">
        <w:rPr>
          <w:rFonts w:ascii="Calibri Light" w:hAnsi="Calibri Light" w:cs="Calibri Light"/>
          <w:sz w:val="22"/>
          <w:szCs w:val="22"/>
        </w:rPr>
        <w:t xml:space="preserve"> </w:t>
      </w:r>
      <w:r w:rsidR="00DB6894" w:rsidRPr="00DA663C">
        <w:rPr>
          <w:rFonts w:ascii="Calibri Light" w:hAnsi="Calibri Light" w:cs="Calibri Light"/>
          <w:sz w:val="22"/>
          <w:szCs w:val="22"/>
        </w:rPr>
        <w:t>are only somewhat included in the Human Rights Act 1993</w:t>
      </w:r>
      <w:r w:rsidR="00D047ED" w:rsidRPr="00DA663C">
        <w:rPr>
          <w:rFonts w:ascii="Calibri Light" w:hAnsi="Calibri Light" w:cs="Calibri Light"/>
          <w:sz w:val="22"/>
          <w:szCs w:val="22"/>
        </w:rPr>
        <w:t xml:space="preserve"> (HRA)</w:t>
      </w:r>
      <w:r w:rsidR="00DB6894" w:rsidRPr="00DA663C">
        <w:rPr>
          <w:rFonts w:ascii="Calibri Light" w:hAnsi="Calibri Light" w:cs="Calibri Light"/>
          <w:sz w:val="22"/>
          <w:szCs w:val="22"/>
        </w:rPr>
        <w:t xml:space="preserve">, and not at all in </w:t>
      </w:r>
      <w:r w:rsidR="00541C81" w:rsidRPr="00DA663C">
        <w:rPr>
          <w:rFonts w:ascii="Calibri Light" w:hAnsi="Calibri Light" w:cs="Calibri Light"/>
          <w:sz w:val="22"/>
          <w:szCs w:val="22"/>
        </w:rPr>
        <w:t xml:space="preserve">either </w:t>
      </w:r>
      <w:r w:rsidR="00430693" w:rsidRPr="00DA663C">
        <w:rPr>
          <w:rFonts w:ascii="Calibri Light" w:hAnsi="Calibri Light" w:cs="Calibri Light"/>
          <w:sz w:val="22"/>
          <w:szCs w:val="22"/>
        </w:rPr>
        <w:t>the New Zealand Bill of Rights Act 1990</w:t>
      </w:r>
      <w:r w:rsidR="00541C81" w:rsidRPr="00DA663C">
        <w:rPr>
          <w:rFonts w:ascii="Calibri Light" w:hAnsi="Calibri Light" w:cs="Calibri Light"/>
          <w:sz w:val="22"/>
          <w:szCs w:val="22"/>
        </w:rPr>
        <w:t xml:space="preserve"> </w:t>
      </w:r>
      <w:r w:rsidR="00D047ED" w:rsidRPr="00DA663C">
        <w:rPr>
          <w:rFonts w:ascii="Calibri Light" w:hAnsi="Calibri Light" w:cs="Calibri Light"/>
          <w:sz w:val="22"/>
          <w:szCs w:val="22"/>
        </w:rPr>
        <w:t xml:space="preserve">(NZBORA) </w:t>
      </w:r>
      <w:r w:rsidR="00541C81" w:rsidRPr="00DA663C">
        <w:rPr>
          <w:rFonts w:ascii="Calibri Light" w:hAnsi="Calibri Light" w:cs="Calibri Light"/>
          <w:sz w:val="22"/>
          <w:szCs w:val="22"/>
        </w:rPr>
        <w:t>or the Privacy Act 2020</w:t>
      </w:r>
      <w:r w:rsidR="00480A1C" w:rsidRPr="00DA663C">
        <w:rPr>
          <w:rFonts w:ascii="Calibri Light" w:hAnsi="Calibri Light" w:cs="Calibri Light"/>
          <w:sz w:val="22"/>
          <w:szCs w:val="22"/>
        </w:rPr>
        <w:t>.</w:t>
      </w:r>
      <w:r w:rsidR="00FA03C1" w:rsidRPr="00DA663C">
        <w:rPr>
          <w:rFonts w:ascii="Calibri Light" w:hAnsi="Calibri Light" w:cs="Calibri Light"/>
          <w:sz w:val="22"/>
          <w:szCs w:val="22"/>
        </w:rPr>
        <w:t xml:space="preserve"> </w:t>
      </w:r>
      <w:r w:rsidR="00DA663C">
        <w:rPr>
          <w:rFonts w:ascii="Calibri Light" w:hAnsi="Calibri Light" w:cs="Calibri Light"/>
          <w:sz w:val="22"/>
          <w:szCs w:val="22"/>
        </w:rPr>
        <w:t>The</w:t>
      </w:r>
      <w:r w:rsidR="00FA03C1" w:rsidRPr="00DA663C">
        <w:rPr>
          <w:rFonts w:ascii="Calibri Light" w:hAnsi="Calibri Light" w:cs="Calibri Light"/>
          <w:sz w:val="22"/>
          <w:szCs w:val="22"/>
        </w:rPr>
        <w:t xml:space="preserve"> statutes </w:t>
      </w:r>
      <w:r w:rsidR="006574A1" w:rsidRPr="00DA663C">
        <w:rPr>
          <w:rFonts w:ascii="Calibri Light" w:hAnsi="Calibri Light" w:cs="Calibri Light"/>
          <w:sz w:val="22"/>
          <w:szCs w:val="22"/>
        </w:rPr>
        <w:t xml:space="preserve">can be amended by simple Parliamentary majority. </w:t>
      </w:r>
    </w:p>
    <w:p w14:paraId="75446552" w14:textId="2CB58DC4" w:rsidR="00824C5B" w:rsidRPr="00DA663C" w:rsidRDefault="002F681C"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New Zealand in its draft fifth periodic report outlines the protections available for human rights which enjoy constitutional protection, such as in the NZBORA, but neglects to </w:t>
      </w:r>
      <w:r w:rsidR="00BD0CAC" w:rsidRPr="00DA663C">
        <w:rPr>
          <w:rFonts w:ascii="Calibri Light" w:hAnsi="Calibri Light" w:cs="Calibri Light"/>
          <w:sz w:val="22"/>
          <w:szCs w:val="22"/>
        </w:rPr>
        <w:t>adequately explain the serious consequences of the inability of New Zealanders to enforce those rights when inconsistent legislation is passed.</w:t>
      </w:r>
      <w:r w:rsidR="00BD0CAC" w:rsidRPr="00DA663C">
        <w:rPr>
          <w:rStyle w:val="FootnoteReference"/>
          <w:rFonts w:ascii="Calibri Light" w:hAnsi="Calibri Light" w:cs="Calibri Light"/>
          <w:sz w:val="22"/>
          <w:szCs w:val="22"/>
        </w:rPr>
        <w:footnoteReference w:id="10"/>
      </w:r>
      <w:r w:rsidR="00BD0CAC" w:rsidRPr="00DA663C">
        <w:rPr>
          <w:rFonts w:ascii="Calibri Light" w:hAnsi="Calibri Light" w:cs="Calibri Light"/>
          <w:sz w:val="22"/>
          <w:szCs w:val="22"/>
        </w:rPr>
        <w:t xml:space="preserve">  It also fails to adequately highlight</w:t>
      </w:r>
      <w:r w:rsidRPr="00DA663C">
        <w:rPr>
          <w:rFonts w:ascii="Calibri Light" w:hAnsi="Calibri Light" w:cs="Calibri Light"/>
          <w:sz w:val="22"/>
          <w:szCs w:val="22"/>
        </w:rPr>
        <w:t xml:space="preserve"> that</w:t>
      </w:r>
      <w:r w:rsidR="00061051" w:rsidRPr="00DA663C">
        <w:rPr>
          <w:rFonts w:ascii="Calibri Light" w:hAnsi="Calibri Light" w:cs="Calibri Light"/>
          <w:sz w:val="22"/>
          <w:szCs w:val="22"/>
        </w:rPr>
        <w:t xml:space="preserve"> this same level of protection</w:t>
      </w:r>
      <w:r w:rsidR="00BD0CAC" w:rsidRPr="00DA663C">
        <w:rPr>
          <w:rFonts w:ascii="Calibri Light" w:hAnsi="Calibri Light" w:cs="Calibri Light"/>
          <w:sz w:val="22"/>
          <w:szCs w:val="22"/>
        </w:rPr>
        <w:t xml:space="preserve"> – insufficient as it is –</w:t>
      </w:r>
      <w:r w:rsidR="00061051" w:rsidRPr="00DA663C">
        <w:rPr>
          <w:rFonts w:ascii="Calibri Light" w:hAnsi="Calibri Light" w:cs="Calibri Light"/>
          <w:sz w:val="22"/>
          <w:szCs w:val="22"/>
        </w:rPr>
        <w:t xml:space="preserve"> is not available for ICESCR rights.</w:t>
      </w:r>
      <w:r w:rsidR="00061051" w:rsidRPr="00DA663C">
        <w:rPr>
          <w:rStyle w:val="FootnoteReference"/>
          <w:rFonts w:ascii="Calibri Light" w:hAnsi="Calibri Light" w:cs="Calibri Light"/>
          <w:sz w:val="22"/>
          <w:szCs w:val="22"/>
        </w:rPr>
        <w:footnoteReference w:id="11"/>
      </w:r>
      <w:r w:rsidR="00061051" w:rsidRPr="00DA663C">
        <w:rPr>
          <w:rFonts w:ascii="Calibri Light" w:hAnsi="Calibri Light" w:cs="Calibri Light"/>
          <w:sz w:val="22"/>
          <w:szCs w:val="22"/>
        </w:rPr>
        <w:t xml:space="preserve"> </w:t>
      </w:r>
      <w:r w:rsidR="00824C5B" w:rsidRPr="00DA663C">
        <w:rPr>
          <w:rFonts w:ascii="Calibri Light" w:hAnsi="Calibri Light" w:cs="Calibri Light"/>
          <w:sz w:val="22"/>
          <w:szCs w:val="22"/>
        </w:rPr>
        <w:t xml:space="preserve">It should do so.  </w:t>
      </w:r>
    </w:p>
    <w:p w14:paraId="247464F7" w14:textId="3E09231B" w:rsidR="00903FDE" w:rsidRPr="00DA663C" w:rsidRDefault="00680FB3"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New Zealand’s draft fifth periodic report should be amended at [10] to show that human rights are not truly indivisible within Aotearoa New Zealand’s constitution, with civil and political rights having primacy.</w:t>
      </w:r>
    </w:p>
    <w:p w14:paraId="71F95516" w14:textId="77777777" w:rsidR="00362C34" w:rsidRPr="00DA663C" w:rsidRDefault="00E6112E"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South Africa provides an example of strong </w:t>
      </w:r>
      <w:r w:rsidR="00362C34" w:rsidRPr="00DA663C">
        <w:rPr>
          <w:rFonts w:ascii="Calibri Light" w:hAnsi="Calibri Light" w:cs="Calibri Light"/>
          <w:sz w:val="22"/>
          <w:szCs w:val="22"/>
        </w:rPr>
        <w:t xml:space="preserve">constitutional and judicially enforceable </w:t>
      </w:r>
      <w:r w:rsidRPr="00DA663C">
        <w:rPr>
          <w:rFonts w:ascii="Calibri Light" w:hAnsi="Calibri Light" w:cs="Calibri Light"/>
          <w:sz w:val="22"/>
          <w:szCs w:val="22"/>
        </w:rPr>
        <w:t xml:space="preserve">protection of economic, social and cultural rights. </w:t>
      </w:r>
    </w:p>
    <w:p w14:paraId="00FD6DB3" w14:textId="3746018E" w:rsidR="00E6112E" w:rsidRPr="00DA663C" w:rsidRDefault="008E4FD5"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lastRenderedPageBreak/>
        <w:t>In addition,</w:t>
      </w:r>
      <w:r w:rsidR="00362C34" w:rsidRPr="00DA663C">
        <w:rPr>
          <w:rFonts w:ascii="Calibri Light" w:hAnsi="Calibri Light" w:cs="Calibri Light"/>
          <w:sz w:val="22"/>
          <w:szCs w:val="22"/>
        </w:rPr>
        <w:t xml:space="preserve"> </w:t>
      </w:r>
      <w:r w:rsidR="00C879F6" w:rsidRPr="00DA663C">
        <w:rPr>
          <w:rFonts w:ascii="Calibri Light" w:hAnsi="Calibri Light" w:cs="Calibri Light"/>
          <w:sz w:val="22"/>
          <w:szCs w:val="22"/>
        </w:rPr>
        <w:t xml:space="preserve">these rights also </w:t>
      </w:r>
      <w:r w:rsidR="00E6112E" w:rsidRPr="00DA663C">
        <w:rPr>
          <w:rFonts w:ascii="Calibri Light" w:hAnsi="Calibri Light" w:cs="Calibri Light"/>
          <w:sz w:val="22"/>
          <w:szCs w:val="22"/>
        </w:rPr>
        <w:t>have soft protection through the South African Human Rights Commission.</w:t>
      </w:r>
      <w:r w:rsidR="00E6112E" w:rsidRPr="00DA663C">
        <w:rPr>
          <w:rStyle w:val="FootnoteReference"/>
          <w:rFonts w:ascii="Calibri Light" w:hAnsi="Calibri Light" w:cs="Calibri Light"/>
          <w:sz w:val="22"/>
          <w:szCs w:val="22"/>
        </w:rPr>
        <w:footnoteReference w:id="12"/>
      </w:r>
      <w:r w:rsidR="00E6112E" w:rsidRPr="00DA663C">
        <w:rPr>
          <w:rFonts w:ascii="Calibri Light" w:hAnsi="Calibri Light" w:cs="Calibri Light"/>
          <w:sz w:val="22"/>
          <w:szCs w:val="22"/>
        </w:rPr>
        <w:t xml:space="preserve"> The Commission is empowered by the South African Constitution to require the state to provide information on measures taken to realise human rights</w:t>
      </w:r>
      <w:r w:rsidR="00362C34" w:rsidRPr="00DA663C">
        <w:rPr>
          <w:rFonts w:ascii="Calibri Light" w:hAnsi="Calibri Light" w:cs="Calibri Light"/>
          <w:sz w:val="22"/>
          <w:szCs w:val="22"/>
        </w:rPr>
        <w:t xml:space="preserve">, </w:t>
      </w:r>
      <w:r w:rsidR="00E6112E" w:rsidRPr="00DA663C">
        <w:rPr>
          <w:rFonts w:ascii="Calibri Light" w:hAnsi="Calibri Light" w:cs="Calibri Light"/>
          <w:sz w:val="22"/>
          <w:szCs w:val="22"/>
        </w:rPr>
        <w:t>including economic, social and cultural rights.</w:t>
      </w:r>
      <w:r w:rsidR="00E6112E" w:rsidRPr="00DA663C">
        <w:rPr>
          <w:rStyle w:val="FootnoteReference"/>
          <w:rFonts w:ascii="Calibri Light" w:hAnsi="Calibri Light" w:cs="Calibri Light"/>
          <w:sz w:val="22"/>
          <w:szCs w:val="22"/>
        </w:rPr>
        <w:footnoteReference w:id="13"/>
      </w:r>
      <w:r w:rsidR="00E6112E" w:rsidRPr="00DA663C">
        <w:rPr>
          <w:rFonts w:ascii="Calibri Light" w:hAnsi="Calibri Light" w:cs="Calibri Light"/>
          <w:sz w:val="22"/>
          <w:szCs w:val="22"/>
        </w:rPr>
        <w:t xml:space="preserve"> This is effectively a domestic version of the international reporting procedures created by conventions such as the ICESCR. The power of such domestic reporting is the facilitation of constructive dialogue between the state, the Human Rights Commission, and the public.</w:t>
      </w:r>
      <w:r w:rsidR="00E6112E" w:rsidRPr="00DA663C">
        <w:rPr>
          <w:rStyle w:val="FootnoteReference"/>
          <w:rFonts w:ascii="Calibri Light" w:hAnsi="Calibri Light" w:cs="Calibri Light"/>
          <w:sz w:val="22"/>
          <w:szCs w:val="22"/>
        </w:rPr>
        <w:footnoteReference w:id="14"/>
      </w:r>
      <w:r w:rsidR="00E6112E" w:rsidRPr="00DA663C">
        <w:rPr>
          <w:rFonts w:ascii="Calibri Light" w:hAnsi="Calibri Light" w:cs="Calibri Light"/>
          <w:sz w:val="22"/>
          <w:szCs w:val="22"/>
        </w:rPr>
        <w:t xml:space="preserve"> This compulsory reporting would be an important development of Aotearoa New Zealand’s Human Rights Commission</w:t>
      </w:r>
      <w:r w:rsidR="00362C34" w:rsidRPr="00DA663C">
        <w:rPr>
          <w:rFonts w:ascii="Calibri Light" w:hAnsi="Calibri Light" w:cs="Calibri Light"/>
          <w:sz w:val="22"/>
          <w:szCs w:val="22"/>
        </w:rPr>
        <w:t xml:space="preserve"> and we recommend that the government consider such an option and include it in its report to the CESCR</w:t>
      </w:r>
      <w:r w:rsidR="00E6112E" w:rsidRPr="00DA663C">
        <w:rPr>
          <w:rFonts w:ascii="Calibri Light" w:hAnsi="Calibri Light" w:cs="Calibri Light"/>
          <w:sz w:val="22"/>
          <w:szCs w:val="22"/>
        </w:rPr>
        <w:t>.</w:t>
      </w:r>
    </w:p>
    <w:p w14:paraId="3AA1191C" w14:textId="5ACDA537" w:rsidR="005802E6" w:rsidRPr="00DA663C" w:rsidRDefault="000D52EC" w:rsidP="003C7168">
      <w:pPr>
        <w:pStyle w:val="ListParagraph"/>
        <w:numPr>
          <w:ilvl w:val="1"/>
          <w:numId w:val="3"/>
        </w:numPr>
        <w:spacing w:line="276" w:lineRule="auto"/>
        <w:ind w:hanging="731"/>
        <w:contextualSpacing w:val="0"/>
        <w:jc w:val="both"/>
        <w:rPr>
          <w:rFonts w:ascii="Calibri Light" w:hAnsi="Calibri Light" w:cs="Calibri Light"/>
          <w:sz w:val="22"/>
          <w:szCs w:val="22"/>
        </w:rPr>
      </w:pP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Wai Ariki recommends that the Government commit</w:t>
      </w:r>
      <w:r w:rsidR="00913653" w:rsidRPr="00DA663C">
        <w:rPr>
          <w:rFonts w:ascii="Calibri Light" w:hAnsi="Calibri Light" w:cs="Calibri Light"/>
          <w:sz w:val="22"/>
          <w:szCs w:val="22"/>
        </w:rPr>
        <w:t xml:space="preserve"> in its report to CESCR</w:t>
      </w:r>
      <w:r w:rsidRPr="00DA663C">
        <w:rPr>
          <w:rFonts w:ascii="Calibri Light" w:hAnsi="Calibri Light" w:cs="Calibri Light"/>
          <w:sz w:val="22"/>
          <w:szCs w:val="22"/>
        </w:rPr>
        <w:t xml:space="preserve"> to the full and effective incorporation of ICESCR </w:t>
      </w:r>
      <w:r w:rsidR="00913653" w:rsidRPr="00DA663C">
        <w:rPr>
          <w:rFonts w:ascii="Calibri Light" w:hAnsi="Calibri Light" w:cs="Calibri Light"/>
          <w:sz w:val="22"/>
          <w:szCs w:val="22"/>
        </w:rPr>
        <w:t>into New Zealand’s constitution to enable judicial enforcement of those rights</w:t>
      </w:r>
      <w:r w:rsidRPr="00DA663C">
        <w:rPr>
          <w:rFonts w:ascii="Calibri Light" w:hAnsi="Calibri Light" w:cs="Calibri Light"/>
          <w:sz w:val="22"/>
          <w:szCs w:val="22"/>
        </w:rPr>
        <w:t xml:space="preserve">. </w:t>
      </w:r>
    </w:p>
    <w:p w14:paraId="4F8732F0" w14:textId="00B5E310" w:rsidR="0014396D" w:rsidRPr="00DA663C" w:rsidRDefault="0014396D" w:rsidP="003C7168">
      <w:pPr>
        <w:pStyle w:val="Heading1"/>
        <w:spacing w:line="276" w:lineRule="auto"/>
        <w:rPr>
          <w:rFonts w:ascii="Calibri Light" w:hAnsi="Calibri Light" w:cs="Calibri Light"/>
          <w:b w:val="0"/>
          <w:bCs w:val="0"/>
          <w:sz w:val="22"/>
          <w:szCs w:val="22"/>
        </w:rPr>
      </w:pPr>
      <w:r w:rsidRPr="00DA663C">
        <w:rPr>
          <w:rFonts w:ascii="Calibri Light" w:hAnsi="Calibri Light" w:cs="Calibri Light"/>
          <w:b w:val="0"/>
          <w:bCs w:val="0"/>
          <w:sz w:val="22"/>
          <w:szCs w:val="22"/>
        </w:rPr>
        <w:t>CONTINUED VULNERABILITY OF ICESCR RIGHTS FOR MĀORI</w:t>
      </w:r>
      <w:r w:rsidR="00913653" w:rsidRPr="00DA663C">
        <w:rPr>
          <w:rFonts w:ascii="Calibri Light" w:hAnsi="Calibri Light" w:cs="Calibri Light"/>
          <w:b w:val="0"/>
          <w:bCs w:val="0"/>
          <w:sz w:val="22"/>
          <w:szCs w:val="22"/>
        </w:rPr>
        <w:t xml:space="preserve"> SPECIFICALLY</w:t>
      </w:r>
    </w:p>
    <w:p w14:paraId="01440B13" w14:textId="6ABE19F3" w:rsidR="005802E6" w:rsidRPr="00DA663C" w:rsidRDefault="006017E1"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Right to Self-Determination</w:t>
      </w:r>
    </w:p>
    <w:p w14:paraId="7A838554" w14:textId="6B58E7C6" w:rsidR="00673F21" w:rsidRPr="00DA663C" w:rsidRDefault="00FD6080" w:rsidP="003C7168">
      <w:pPr>
        <w:pStyle w:val="ListParagraph"/>
        <w:numPr>
          <w:ilvl w:val="2"/>
          <w:numId w:val="6"/>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ICESCR affirms the right to self-determination.</w:t>
      </w:r>
      <w:r w:rsidRPr="00DA663C">
        <w:rPr>
          <w:rStyle w:val="FootnoteReference"/>
          <w:rFonts w:ascii="Calibri Light" w:hAnsi="Calibri Light" w:cs="Calibri Light"/>
          <w:sz w:val="22"/>
          <w:szCs w:val="22"/>
        </w:rPr>
        <w:footnoteReference w:id="15"/>
      </w:r>
      <w:r w:rsidRPr="00DA663C">
        <w:rPr>
          <w:rFonts w:ascii="Calibri Light" w:hAnsi="Calibri Light" w:cs="Calibri Light"/>
          <w:sz w:val="22"/>
          <w:szCs w:val="22"/>
        </w:rPr>
        <w:t xml:space="preserve"> This provision should be read in conjunction with Aotearoa New Zealand’s obligations under the United Nations Declaration on the Rights of Indigenous Peoples 2007 (UNDRIP). </w:t>
      </w:r>
      <w:r w:rsidR="00E011A7" w:rsidRPr="00DA663C">
        <w:rPr>
          <w:rFonts w:ascii="Calibri Light" w:hAnsi="Calibri Light" w:cs="Calibri Light"/>
          <w:sz w:val="22"/>
          <w:szCs w:val="22"/>
        </w:rPr>
        <w:t>For Aotearoa New Zealand to meet its international obligations to observe and promote the right to self-determination, it must uphold Māori</w:t>
      </w:r>
      <w:r w:rsidR="00FE29E2" w:rsidRPr="00DA663C">
        <w:rPr>
          <w:rFonts w:ascii="Calibri Light" w:hAnsi="Calibri Light" w:cs="Calibri Light"/>
          <w:sz w:val="22"/>
          <w:szCs w:val="22"/>
        </w:rPr>
        <w:t xml:space="preserve"> </w:t>
      </w:r>
      <w:proofErr w:type="spellStart"/>
      <w:r w:rsidR="00C842B6" w:rsidRPr="00DA663C">
        <w:rPr>
          <w:rFonts w:ascii="Calibri Light" w:hAnsi="Calibri Light" w:cs="Calibri Light"/>
          <w:sz w:val="22"/>
          <w:szCs w:val="22"/>
        </w:rPr>
        <w:t>tino</w:t>
      </w:r>
      <w:proofErr w:type="spellEnd"/>
      <w:r w:rsidR="00C842B6" w:rsidRPr="00DA663C">
        <w:rPr>
          <w:rFonts w:ascii="Calibri Light" w:hAnsi="Calibri Light" w:cs="Calibri Light"/>
          <w:sz w:val="22"/>
          <w:szCs w:val="22"/>
        </w:rPr>
        <w:t xml:space="preserve"> rangatiratanga</w:t>
      </w:r>
      <w:r w:rsidR="00E011A7" w:rsidRPr="00DA663C">
        <w:rPr>
          <w:rFonts w:ascii="Calibri Light" w:hAnsi="Calibri Light" w:cs="Calibri Light"/>
          <w:sz w:val="22"/>
          <w:szCs w:val="22"/>
        </w:rPr>
        <w:t>.</w:t>
      </w:r>
    </w:p>
    <w:p w14:paraId="5BC71078" w14:textId="329298D7" w:rsidR="00464533" w:rsidRPr="00DA663C" w:rsidRDefault="00464533" w:rsidP="003C7168">
      <w:pPr>
        <w:pStyle w:val="ListParagraph"/>
        <w:numPr>
          <w:ilvl w:val="2"/>
          <w:numId w:val="6"/>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The draft fifth periodic report mentions the Government’s </w:t>
      </w:r>
      <w:r w:rsidR="00AB4530" w:rsidRPr="00DA663C">
        <w:rPr>
          <w:rFonts w:ascii="Calibri Light" w:hAnsi="Calibri Light" w:cs="Calibri Light"/>
          <w:sz w:val="22"/>
          <w:szCs w:val="22"/>
        </w:rPr>
        <w:t xml:space="preserve">agreement to develop a national plan of action to implement UNDRIP. </w:t>
      </w:r>
      <w:r w:rsidR="00913653" w:rsidRPr="00DA663C">
        <w:rPr>
          <w:rFonts w:ascii="Calibri Light" w:hAnsi="Calibri Light" w:cs="Calibri Light"/>
          <w:sz w:val="22"/>
          <w:szCs w:val="22"/>
        </w:rPr>
        <w:t>As</w:t>
      </w:r>
      <w:r w:rsidR="001B4625" w:rsidRPr="00DA663C">
        <w:rPr>
          <w:rFonts w:ascii="Calibri Light" w:hAnsi="Calibri Light" w:cs="Calibri Light"/>
          <w:sz w:val="22"/>
          <w:szCs w:val="22"/>
        </w:rPr>
        <w:t xml:space="preserve"> the report notes </w:t>
      </w:r>
      <w:r w:rsidR="00BD0CAC" w:rsidRPr="00DA663C">
        <w:rPr>
          <w:rFonts w:ascii="Calibri Light" w:hAnsi="Calibri Light" w:cs="Calibri Light"/>
          <w:sz w:val="22"/>
          <w:szCs w:val="22"/>
        </w:rPr>
        <w:t>work on that</w:t>
      </w:r>
      <w:r w:rsidR="001B4625" w:rsidRPr="00DA663C">
        <w:rPr>
          <w:rFonts w:ascii="Calibri Light" w:hAnsi="Calibri Light" w:cs="Calibri Light"/>
          <w:sz w:val="22"/>
          <w:szCs w:val="22"/>
        </w:rPr>
        <w:t xml:space="preserve"> </w:t>
      </w:r>
      <w:r w:rsidR="00BD0CAC" w:rsidRPr="00DA663C">
        <w:rPr>
          <w:rFonts w:ascii="Calibri Light" w:hAnsi="Calibri Light" w:cs="Calibri Light"/>
          <w:sz w:val="22"/>
          <w:szCs w:val="22"/>
        </w:rPr>
        <w:t>p</w:t>
      </w:r>
      <w:r w:rsidR="001B4625" w:rsidRPr="00DA663C">
        <w:rPr>
          <w:rFonts w:ascii="Calibri Light" w:hAnsi="Calibri Light" w:cs="Calibri Light"/>
          <w:sz w:val="22"/>
          <w:szCs w:val="22"/>
        </w:rPr>
        <w:t xml:space="preserve">lan </w:t>
      </w:r>
      <w:r w:rsidR="00BD0CAC" w:rsidRPr="00DA663C">
        <w:rPr>
          <w:rFonts w:ascii="Calibri Light" w:hAnsi="Calibri Light" w:cs="Calibri Light"/>
          <w:sz w:val="22"/>
          <w:szCs w:val="22"/>
        </w:rPr>
        <w:t>has been deferred</w:t>
      </w:r>
      <w:r w:rsidR="001B4625" w:rsidRPr="00DA663C">
        <w:rPr>
          <w:rFonts w:ascii="Calibri Light" w:hAnsi="Calibri Light" w:cs="Calibri Light"/>
          <w:sz w:val="22"/>
          <w:szCs w:val="22"/>
        </w:rPr>
        <w:t xml:space="preserve">, </w:t>
      </w:r>
      <w:r w:rsidR="00913653" w:rsidRPr="00DA663C">
        <w:rPr>
          <w:rFonts w:ascii="Calibri Light" w:hAnsi="Calibri Light" w:cs="Calibri Light"/>
          <w:sz w:val="22"/>
          <w:szCs w:val="22"/>
        </w:rPr>
        <w:t xml:space="preserve">yet </w:t>
      </w:r>
      <w:r w:rsidR="001B4625" w:rsidRPr="00DA663C">
        <w:rPr>
          <w:rFonts w:ascii="Calibri Light" w:hAnsi="Calibri Light" w:cs="Calibri Light"/>
          <w:sz w:val="22"/>
          <w:szCs w:val="22"/>
        </w:rPr>
        <w:t xml:space="preserve">it </w:t>
      </w:r>
      <w:r w:rsidR="000171C3" w:rsidRPr="00DA663C">
        <w:rPr>
          <w:rFonts w:ascii="Calibri Light" w:hAnsi="Calibri Light" w:cs="Calibri Light"/>
          <w:sz w:val="22"/>
          <w:szCs w:val="22"/>
        </w:rPr>
        <w:t>claims that the Government is progressing other targets to achieve improved results for Māori</w:t>
      </w:r>
      <w:r w:rsidR="00E26B6D" w:rsidRPr="00DA663C">
        <w:rPr>
          <w:rFonts w:ascii="Calibri Light" w:hAnsi="Calibri Light" w:cs="Calibri Light"/>
          <w:sz w:val="22"/>
          <w:szCs w:val="22"/>
        </w:rPr>
        <w:t>.</w:t>
      </w:r>
      <w:r w:rsidR="00E26B6D" w:rsidRPr="00DA663C">
        <w:rPr>
          <w:rStyle w:val="FootnoteReference"/>
          <w:rFonts w:ascii="Calibri Light" w:hAnsi="Calibri Light" w:cs="Calibri Light"/>
          <w:sz w:val="22"/>
          <w:szCs w:val="22"/>
        </w:rPr>
        <w:footnoteReference w:id="16"/>
      </w:r>
      <w:r w:rsidR="00A645D2" w:rsidRPr="00DA663C">
        <w:rPr>
          <w:rFonts w:ascii="Calibri Light" w:hAnsi="Calibri Light" w:cs="Calibri Light"/>
          <w:sz w:val="22"/>
          <w:szCs w:val="22"/>
        </w:rPr>
        <w:t xml:space="preserve"> This does not match up with this Government’s repeal of various initiatives which support</w:t>
      </w:r>
      <w:r w:rsidR="00AE66F7" w:rsidRPr="00DA663C">
        <w:rPr>
          <w:rFonts w:ascii="Calibri Light" w:hAnsi="Calibri Light" w:cs="Calibri Light"/>
          <w:sz w:val="22"/>
          <w:szCs w:val="22"/>
        </w:rPr>
        <w:t xml:space="preserve"> Māori </w:t>
      </w:r>
      <w:proofErr w:type="spellStart"/>
      <w:r w:rsidR="00AE66F7" w:rsidRPr="00DA663C">
        <w:rPr>
          <w:rFonts w:ascii="Calibri Light" w:hAnsi="Calibri Light" w:cs="Calibri Light"/>
          <w:sz w:val="22"/>
          <w:szCs w:val="22"/>
        </w:rPr>
        <w:t>tino</w:t>
      </w:r>
      <w:proofErr w:type="spellEnd"/>
      <w:r w:rsidR="00AE66F7" w:rsidRPr="00DA663C">
        <w:rPr>
          <w:rFonts w:ascii="Calibri Light" w:hAnsi="Calibri Light" w:cs="Calibri Light"/>
          <w:sz w:val="22"/>
          <w:szCs w:val="22"/>
        </w:rPr>
        <w:t xml:space="preserve"> rangatiratanga</w:t>
      </w:r>
      <w:r w:rsidR="008C165A" w:rsidRPr="00DA663C">
        <w:rPr>
          <w:rFonts w:ascii="Calibri Light" w:hAnsi="Calibri Light" w:cs="Calibri Light"/>
          <w:sz w:val="22"/>
          <w:szCs w:val="22"/>
        </w:rPr>
        <w:t xml:space="preserve">, such as </w:t>
      </w:r>
      <w:proofErr w:type="spellStart"/>
      <w:r w:rsidR="008C165A" w:rsidRPr="00DA663C">
        <w:rPr>
          <w:rFonts w:ascii="Calibri Light" w:hAnsi="Calibri Light" w:cs="Calibri Light"/>
          <w:sz w:val="22"/>
          <w:szCs w:val="22"/>
        </w:rPr>
        <w:t>Te</w:t>
      </w:r>
      <w:proofErr w:type="spellEnd"/>
      <w:r w:rsidR="008C165A" w:rsidRPr="00DA663C">
        <w:rPr>
          <w:rFonts w:ascii="Calibri Light" w:hAnsi="Calibri Light" w:cs="Calibri Light"/>
          <w:sz w:val="22"/>
          <w:szCs w:val="22"/>
        </w:rPr>
        <w:t xml:space="preserve"> Aka </w:t>
      </w:r>
      <w:proofErr w:type="spellStart"/>
      <w:r w:rsidR="008C165A" w:rsidRPr="00DA663C">
        <w:rPr>
          <w:rFonts w:ascii="Calibri Light" w:hAnsi="Calibri Light" w:cs="Calibri Light"/>
          <w:sz w:val="22"/>
          <w:szCs w:val="22"/>
        </w:rPr>
        <w:t>Whai</w:t>
      </w:r>
      <w:proofErr w:type="spellEnd"/>
      <w:r w:rsidR="008C165A" w:rsidRPr="00DA663C">
        <w:rPr>
          <w:rFonts w:ascii="Calibri Light" w:hAnsi="Calibri Light" w:cs="Calibri Light"/>
          <w:sz w:val="22"/>
          <w:szCs w:val="22"/>
        </w:rPr>
        <w:t xml:space="preserve"> Ora.</w:t>
      </w:r>
    </w:p>
    <w:p w14:paraId="44B9084F" w14:textId="28FA7A30" w:rsidR="00913653" w:rsidRPr="00DA663C" w:rsidRDefault="00133F07" w:rsidP="003C7168">
      <w:pPr>
        <w:pStyle w:val="ListParagraph"/>
        <w:numPr>
          <w:ilvl w:val="2"/>
          <w:numId w:val="6"/>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A further </w:t>
      </w:r>
      <w:r w:rsidR="000D2592" w:rsidRPr="00DA663C">
        <w:rPr>
          <w:rFonts w:ascii="Calibri Light" w:hAnsi="Calibri Light" w:cs="Calibri Light"/>
          <w:sz w:val="22"/>
          <w:szCs w:val="22"/>
        </w:rPr>
        <w:t xml:space="preserve">breach of the ICESCR right to self-determination is the Government’s failure to </w:t>
      </w:r>
      <w:r w:rsidR="007E0B35" w:rsidRPr="00DA663C">
        <w:rPr>
          <w:rFonts w:ascii="Calibri Light" w:hAnsi="Calibri Light" w:cs="Calibri Light"/>
          <w:sz w:val="22"/>
          <w:szCs w:val="22"/>
        </w:rPr>
        <w:t xml:space="preserve">pay adequate regard to Māori participation in decision-making processes. </w:t>
      </w:r>
      <w:r w:rsidR="00945219" w:rsidRPr="00DA663C">
        <w:rPr>
          <w:rFonts w:ascii="Calibri Light" w:hAnsi="Calibri Light" w:cs="Calibri Light"/>
          <w:sz w:val="22"/>
          <w:szCs w:val="22"/>
        </w:rPr>
        <w:lastRenderedPageBreak/>
        <w:t xml:space="preserve">While the Government notes in its draft fifth periodic report </w:t>
      </w:r>
      <w:r w:rsidR="008A2FFE" w:rsidRPr="00DA663C">
        <w:rPr>
          <w:rFonts w:ascii="Calibri Light" w:hAnsi="Calibri Light" w:cs="Calibri Light"/>
          <w:sz w:val="22"/>
          <w:szCs w:val="22"/>
        </w:rPr>
        <w:t>that various measures are in place to support participation,</w:t>
      </w:r>
      <w:r w:rsidR="008A2FFE" w:rsidRPr="00DA663C">
        <w:rPr>
          <w:rStyle w:val="FootnoteReference"/>
          <w:rFonts w:ascii="Calibri Light" w:hAnsi="Calibri Light" w:cs="Calibri Light"/>
          <w:sz w:val="22"/>
          <w:szCs w:val="22"/>
        </w:rPr>
        <w:footnoteReference w:id="17"/>
      </w:r>
      <w:r w:rsidR="008A2FFE" w:rsidRPr="00DA663C">
        <w:rPr>
          <w:rFonts w:ascii="Calibri Light" w:hAnsi="Calibri Light" w:cs="Calibri Light"/>
          <w:sz w:val="22"/>
          <w:szCs w:val="22"/>
        </w:rPr>
        <w:t xml:space="preserve"> this participation is undermined by the government's disregard </w:t>
      </w:r>
      <w:r w:rsidR="00BD0CAC" w:rsidRPr="00DA663C">
        <w:rPr>
          <w:rFonts w:ascii="Calibri Light" w:hAnsi="Calibri Light" w:cs="Calibri Light"/>
          <w:sz w:val="22"/>
          <w:szCs w:val="22"/>
        </w:rPr>
        <w:t xml:space="preserve">for </w:t>
      </w:r>
      <w:r w:rsidR="008A2FFE" w:rsidRPr="00DA663C">
        <w:rPr>
          <w:rFonts w:ascii="Calibri Light" w:hAnsi="Calibri Light" w:cs="Calibri Light"/>
          <w:sz w:val="22"/>
          <w:szCs w:val="22"/>
        </w:rPr>
        <w:t>Māori input into decision-making.</w:t>
      </w:r>
      <w:r w:rsidR="00C546EB" w:rsidRPr="00DA663C">
        <w:rPr>
          <w:rFonts w:ascii="Calibri Light" w:hAnsi="Calibri Light" w:cs="Calibri Light"/>
          <w:sz w:val="22"/>
          <w:szCs w:val="22"/>
        </w:rPr>
        <w:t xml:space="preserve"> </w:t>
      </w:r>
    </w:p>
    <w:p w14:paraId="4AB340F3" w14:textId="2C2E508A" w:rsidR="00133F07" w:rsidRPr="00DA663C" w:rsidRDefault="00913653" w:rsidP="003C7168">
      <w:pPr>
        <w:pStyle w:val="ListParagraph"/>
        <w:numPr>
          <w:ilvl w:val="2"/>
          <w:numId w:val="6"/>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For example, t</w:t>
      </w:r>
      <w:r w:rsidR="00C546EB" w:rsidRPr="00DA663C">
        <w:rPr>
          <w:rFonts w:ascii="Calibri Light" w:hAnsi="Calibri Light" w:cs="Calibri Light"/>
          <w:sz w:val="22"/>
          <w:szCs w:val="22"/>
        </w:rPr>
        <w:t>he draft</w:t>
      </w:r>
      <w:r w:rsidRPr="00DA663C">
        <w:rPr>
          <w:rFonts w:ascii="Calibri Light" w:hAnsi="Calibri Light" w:cs="Calibri Light"/>
          <w:sz w:val="22"/>
          <w:szCs w:val="22"/>
        </w:rPr>
        <w:t xml:space="preserve"> CESCR</w:t>
      </w:r>
      <w:r w:rsidR="00C546EB" w:rsidRPr="00DA663C">
        <w:rPr>
          <w:rFonts w:ascii="Calibri Light" w:hAnsi="Calibri Light" w:cs="Calibri Light"/>
          <w:sz w:val="22"/>
          <w:szCs w:val="22"/>
        </w:rPr>
        <w:t xml:space="preserve"> report also fails to adequately account for the substantial threat posed by the Fast Track Approvals Bill to Māori participation in decision-making</w:t>
      </w:r>
      <w:r w:rsidR="00F86D00" w:rsidRPr="00DA663C">
        <w:rPr>
          <w:rFonts w:ascii="Calibri Light" w:hAnsi="Calibri Light" w:cs="Calibri Light"/>
          <w:sz w:val="22"/>
          <w:szCs w:val="22"/>
        </w:rPr>
        <w:t xml:space="preserve">. </w:t>
      </w:r>
      <w:r w:rsidR="001B06DE" w:rsidRPr="00DA663C">
        <w:rPr>
          <w:rFonts w:ascii="Calibri Light" w:hAnsi="Calibri Light" w:cs="Calibri Light"/>
          <w:sz w:val="22"/>
          <w:szCs w:val="22"/>
        </w:rPr>
        <w:t xml:space="preserve">Further, the report does not note the widespread opposition to the Bill </w:t>
      </w:r>
      <w:r w:rsidRPr="00DA663C">
        <w:rPr>
          <w:rFonts w:ascii="Calibri Light" w:hAnsi="Calibri Light" w:cs="Calibri Light"/>
          <w:sz w:val="22"/>
          <w:szCs w:val="22"/>
        </w:rPr>
        <w:t>by Māori</w:t>
      </w:r>
      <w:r w:rsidR="0021583D" w:rsidRPr="00DA663C">
        <w:rPr>
          <w:rFonts w:ascii="Calibri Light" w:hAnsi="Calibri Light" w:cs="Calibri Light"/>
          <w:sz w:val="22"/>
          <w:szCs w:val="22"/>
        </w:rPr>
        <w:t>.</w:t>
      </w:r>
      <w:r w:rsidR="0021583D" w:rsidRPr="00DA663C">
        <w:rPr>
          <w:rStyle w:val="FootnoteReference"/>
          <w:rFonts w:ascii="Calibri Light" w:hAnsi="Calibri Light" w:cs="Calibri Light"/>
          <w:sz w:val="22"/>
          <w:szCs w:val="22"/>
        </w:rPr>
        <w:footnoteReference w:id="18"/>
      </w:r>
      <w:r w:rsidRPr="00DA663C">
        <w:rPr>
          <w:rFonts w:ascii="Calibri Light" w:hAnsi="Calibri Light" w:cs="Calibri Light"/>
          <w:sz w:val="22"/>
          <w:szCs w:val="22"/>
        </w:rPr>
        <w:t xml:space="preserve"> It should do so.</w:t>
      </w:r>
    </w:p>
    <w:p w14:paraId="5A2BE746" w14:textId="1290548F" w:rsidR="007C6D25" w:rsidRPr="00DA663C" w:rsidRDefault="007C6D25"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Just and Favourable Conditions of Work</w:t>
      </w:r>
    </w:p>
    <w:p w14:paraId="396DE55A" w14:textId="7E86A5AF" w:rsidR="007C6D25" w:rsidRPr="00DA663C" w:rsidRDefault="007C6D25" w:rsidP="003C7168">
      <w:pPr>
        <w:pStyle w:val="ListParagraph"/>
        <w:numPr>
          <w:ilvl w:val="2"/>
          <w:numId w:val="8"/>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Aotearoa New Zealand has somewhat protected the ICESCR rights to fair wages which at a minimum cover a decent living.</w:t>
      </w:r>
      <w:r w:rsidRPr="00DA663C">
        <w:rPr>
          <w:rStyle w:val="FootnoteReference"/>
          <w:rFonts w:ascii="Calibri Light" w:hAnsi="Calibri Light" w:cs="Calibri Light"/>
          <w:sz w:val="22"/>
          <w:szCs w:val="22"/>
        </w:rPr>
        <w:footnoteReference w:id="19"/>
      </w:r>
      <w:r w:rsidRPr="00DA663C">
        <w:rPr>
          <w:rFonts w:ascii="Calibri Light" w:hAnsi="Calibri Light" w:cs="Calibri Light"/>
          <w:sz w:val="22"/>
          <w:szCs w:val="22"/>
        </w:rPr>
        <w:t xml:space="preserve"> However, these rights are not equally enjoyed by Māori. </w:t>
      </w:r>
    </w:p>
    <w:p w14:paraId="60708EF2" w14:textId="77777777" w:rsidR="00E23913" w:rsidRPr="00DA663C" w:rsidRDefault="007C6D25" w:rsidP="003C7168">
      <w:pPr>
        <w:pStyle w:val="ListParagraph"/>
        <w:numPr>
          <w:ilvl w:val="2"/>
          <w:numId w:val="8"/>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Continuing pay disparities, particularly </w:t>
      </w:r>
      <w:r w:rsidR="009104D7" w:rsidRPr="00DA663C">
        <w:rPr>
          <w:rFonts w:ascii="Calibri Light" w:hAnsi="Calibri Light" w:cs="Calibri Light"/>
          <w:sz w:val="22"/>
          <w:szCs w:val="22"/>
        </w:rPr>
        <w:t xml:space="preserve">with the 15% pay gap </w:t>
      </w:r>
      <w:r w:rsidRPr="00DA663C">
        <w:rPr>
          <w:rFonts w:ascii="Calibri Light" w:hAnsi="Calibri Light" w:cs="Calibri Light"/>
          <w:sz w:val="22"/>
          <w:szCs w:val="22"/>
        </w:rPr>
        <w:t>for Māori women</w:t>
      </w:r>
      <w:r w:rsidR="000C32EC" w:rsidRPr="00DA663C">
        <w:rPr>
          <w:rFonts w:ascii="Calibri Light" w:hAnsi="Calibri Light" w:cs="Calibri Light"/>
          <w:sz w:val="22"/>
          <w:szCs w:val="22"/>
        </w:rPr>
        <w:t xml:space="preserve"> when compared to all men</w:t>
      </w:r>
      <w:r w:rsidRPr="00DA663C">
        <w:rPr>
          <w:rFonts w:ascii="Calibri Light" w:hAnsi="Calibri Light" w:cs="Calibri Light"/>
          <w:sz w:val="22"/>
          <w:szCs w:val="22"/>
        </w:rPr>
        <w:t>,</w:t>
      </w:r>
      <w:r w:rsidR="009104D7" w:rsidRPr="00DA663C">
        <w:rPr>
          <w:rStyle w:val="FootnoteReference"/>
          <w:rFonts w:ascii="Calibri Light" w:hAnsi="Calibri Light" w:cs="Calibri Light"/>
          <w:sz w:val="22"/>
          <w:szCs w:val="22"/>
        </w:rPr>
        <w:footnoteReference w:id="20"/>
      </w:r>
      <w:r w:rsidRPr="00DA663C">
        <w:rPr>
          <w:rFonts w:ascii="Calibri Light" w:hAnsi="Calibri Light" w:cs="Calibri Light"/>
          <w:sz w:val="22"/>
          <w:szCs w:val="22"/>
        </w:rPr>
        <w:t xml:space="preserve"> prevent enjoyment of the right to equal pay for equal work.</w:t>
      </w:r>
      <w:r w:rsidRPr="00DA663C">
        <w:rPr>
          <w:rStyle w:val="FootnoteReference"/>
          <w:rFonts w:ascii="Calibri Light" w:hAnsi="Calibri Light" w:cs="Calibri Light"/>
          <w:sz w:val="22"/>
          <w:szCs w:val="22"/>
        </w:rPr>
        <w:footnoteReference w:id="21"/>
      </w:r>
      <w:r w:rsidRPr="00DA663C">
        <w:rPr>
          <w:rFonts w:ascii="Calibri Light" w:hAnsi="Calibri Light" w:cs="Calibri Light"/>
          <w:sz w:val="22"/>
          <w:szCs w:val="22"/>
        </w:rPr>
        <w:t xml:space="preserve"> </w:t>
      </w:r>
      <w:r w:rsidR="005A1977" w:rsidRPr="00DA663C">
        <w:rPr>
          <w:rFonts w:ascii="Calibri Light" w:hAnsi="Calibri Light" w:cs="Calibri Light"/>
          <w:sz w:val="22"/>
          <w:szCs w:val="22"/>
        </w:rPr>
        <w:t xml:space="preserve">While the Government does well to acknowledge this inequitable </w:t>
      </w:r>
      <w:r w:rsidR="00C331CC" w:rsidRPr="00DA663C">
        <w:rPr>
          <w:rFonts w:ascii="Calibri Light" w:hAnsi="Calibri Light" w:cs="Calibri Light"/>
          <w:sz w:val="22"/>
          <w:szCs w:val="22"/>
        </w:rPr>
        <w:t xml:space="preserve">disparity, there is no </w:t>
      </w:r>
      <w:r w:rsidR="00E23913" w:rsidRPr="00DA663C">
        <w:rPr>
          <w:rFonts w:ascii="Calibri Light" w:hAnsi="Calibri Light" w:cs="Calibri Light"/>
          <w:sz w:val="22"/>
          <w:szCs w:val="22"/>
        </w:rPr>
        <w:t>plan</w:t>
      </w:r>
      <w:r w:rsidR="00C331CC" w:rsidRPr="00DA663C">
        <w:rPr>
          <w:rFonts w:ascii="Calibri Light" w:hAnsi="Calibri Light" w:cs="Calibri Light"/>
          <w:sz w:val="22"/>
          <w:szCs w:val="22"/>
        </w:rPr>
        <w:t xml:space="preserve"> outlined to address this.</w:t>
      </w:r>
      <w:r w:rsidR="00C331CC" w:rsidRPr="00DA663C">
        <w:rPr>
          <w:rStyle w:val="FootnoteReference"/>
          <w:rFonts w:ascii="Calibri Light" w:hAnsi="Calibri Light" w:cs="Calibri Light"/>
          <w:sz w:val="22"/>
          <w:szCs w:val="22"/>
        </w:rPr>
        <w:footnoteReference w:id="22"/>
      </w:r>
      <w:r w:rsidR="005F5A08" w:rsidRPr="00DA663C">
        <w:rPr>
          <w:rFonts w:ascii="Calibri Light" w:hAnsi="Calibri Light" w:cs="Calibri Light"/>
          <w:sz w:val="22"/>
          <w:szCs w:val="22"/>
        </w:rPr>
        <w:t xml:space="preserve"> </w:t>
      </w:r>
    </w:p>
    <w:p w14:paraId="7990CB2C" w14:textId="6F02FB53" w:rsidR="007C6D25" w:rsidRPr="00DA663C" w:rsidRDefault="005F5A08" w:rsidP="003C7168">
      <w:pPr>
        <w:pStyle w:val="ListParagraph"/>
        <w:numPr>
          <w:ilvl w:val="2"/>
          <w:numId w:val="8"/>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The Government should amend its report under the </w:t>
      </w:r>
      <w:r w:rsidR="00E23913" w:rsidRPr="00DA663C">
        <w:rPr>
          <w:rFonts w:ascii="Calibri Light" w:hAnsi="Calibri Light" w:cs="Calibri Light"/>
          <w:sz w:val="22"/>
          <w:szCs w:val="22"/>
        </w:rPr>
        <w:t>g</w:t>
      </w:r>
      <w:r w:rsidRPr="00DA663C">
        <w:rPr>
          <w:rFonts w:ascii="Calibri Light" w:hAnsi="Calibri Light" w:cs="Calibri Light"/>
          <w:sz w:val="22"/>
          <w:szCs w:val="22"/>
        </w:rPr>
        <w:t xml:space="preserve">ender pay gap </w:t>
      </w:r>
      <w:r w:rsidR="003C4364" w:rsidRPr="00DA663C">
        <w:rPr>
          <w:rFonts w:ascii="Calibri Light" w:hAnsi="Calibri Light" w:cs="Calibri Light"/>
          <w:sz w:val="22"/>
          <w:szCs w:val="22"/>
        </w:rPr>
        <w:t xml:space="preserve">heading to include reference to the ongoing Kaupapa Inquiry conducted by the Waitangi Tribunal into Mana </w:t>
      </w:r>
      <w:proofErr w:type="spellStart"/>
      <w:r w:rsidR="003C4364" w:rsidRPr="00DA663C">
        <w:rPr>
          <w:rFonts w:ascii="Calibri Light" w:hAnsi="Calibri Light" w:cs="Calibri Light"/>
          <w:sz w:val="22"/>
          <w:szCs w:val="22"/>
        </w:rPr>
        <w:t>Wāhine</w:t>
      </w:r>
      <w:proofErr w:type="spellEnd"/>
      <w:r w:rsidR="001F1892" w:rsidRPr="00DA663C">
        <w:rPr>
          <w:rFonts w:ascii="Calibri Light" w:hAnsi="Calibri Light" w:cs="Calibri Light"/>
          <w:sz w:val="22"/>
          <w:szCs w:val="22"/>
        </w:rPr>
        <w:t xml:space="preserve">, and should also commit to engaging the subsequent </w:t>
      </w:r>
      <w:r w:rsidR="001B3806" w:rsidRPr="00DA663C">
        <w:rPr>
          <w:rFonts w:ascii="Calibri Light" w:hAnsi="Calibri Light" w:cs="Calibri Light"/>
          <w:sz w:val="22"/>
          <w:szCs w:val="22"/>
        </w:rPr>
        <w:t>recommendations by the Tribunal.</w:t>
      </w:r>
    </w:p>
    <w:p w14:paraId="6102151E" w14:textId="0C2C8945" w:rsidR="007C6D25" w:rsidRPr="00DA663C" w:rsidRDefault="007C6D25" w:rsidP="003C7168">
      <w:pPr>
        <w:pStyle w:val="ListParagraph"/>
        <w:numPr>
          <w:ilvl w:val="2"/>
          <w:numId w:val="8"/>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Further, there is a continuing gap between the statutory minimum wage, and the</w:t>
      </w:r>
      <w:r w:rsidR="00EE0D18" w:rsidRPr="00DA663C">
        <w:rPr>
          <w:rFonts w:ascii="Calibri Light" w:hAnsi="Calibri Light" w:cs="Calibri Light"/>
          <w:sz w:val="22"/>
          <w:szCs w:val="22"/>
        </w:rPr>
        <w:t xml:space="preserve"> living wage</w:t>
      </w:r>
      <w:r w:rsidR="00FA04D0" w:rsidRPr="00DA663C">
        <w:rPr>
          <w:rFonts w:ascii="Calibri Light" w:hAnsi="Calibri Light" w:cs="Calibri Light"/>
          <w:sz w:val="22"/>
          <w:szCs w:val="22"/>
        </w:rPr>
        <w:t xml:space="preserve"> for Aotearoa New Zealand</w:t>
      </w:r>
      <w:r w:rsidR="00EE0D18" w:rsidRPr="00DA663C">
        <w:rPr>
          <w:rFonts w:ascii="Calibri Light" w:hAnsi="Calibri Light" w:cs="Calibri Light"/>
          <w:sz w:val="22"/>
          <w:szCs w:val="22"/>
        </w:rPr>
        <w:t>, being the</w:t>
      </w:r>
      <w:r w:rsidRPr="00DA663C">
        <w:rPr>
          <w:rFonts w:ascii="Calibri Light" w:hAnsi="Calibri Light" w:cs="Calibri Light"/>
          <w:sz w:val="22"/>
          <w:szCs w:val="22"/>
        </w:rPr>
        <w:t xml:space="preserve"> “income necessary to provide workers and their families with the basic necessities of life [and enable] workers to live with dignity and to participate as active citizens in society.”</w:t>
      </w:r>
      <w:r w:rsidRPr="00DA663C">
        <w:rPr>
          <w:rStyle w:val="FootnoteReference"/>
          <w:rFonts w:ascii="Calibri Light" w:hAnsi="Calibri Light" w:cs="Calibri Light"/>
          <w:sz w:val="22"/>
          <w:szCs w:val="22"/>
        </w:rPr>
        <w:footnoteReference w:id="23"/>
      </w:r>
      <w:r w:rsidRPr="00DA663C">
        <w:rPr>
          <w:rFonts w:ascii="Calibri Light" w:hAnsi="Calibri Light" w:cs="Calibri Light"/>
          <w:sz w:val="22"/>
          <w:szCs w:val="22"/>
        </w:rPr>
        <w:t xml:space="preserve"> </w:t>
      </w:r>
      <w:r w:rsidR="00E23913" w:rsidRPr="00DA663C">
        <w:rPr>
          <w:rFonts w:ascii="Calibri Light" w:hAnsi="Calibri Light" w:cs="Calibri Light"/>
          <w:sz w:val="22"/>
          <w:szCs w:val="22"/>
        </w:rPr>
        <w:t xml:space="preserve">Māori suffer </w:t>
      </w:r>
      <w:r w:rsidR="00E23913" w:rsidRPr="00DA663C">
        <w:rPr>
          <w:rFonts w:ascii="Calibri Light" w:hAnsi="Calibri Light" w:cs="Calibri Light"/>
          <w:sz w:val="22"/>
          <w:szCs w:val="22"/>
        </w:rPr>
        <w:lastRenderedPageBreak/>
        <w:t>disproportionately. The report should acknowledge this and present a plan to address it.</w:t>
      </w:r>
    </w:p>
    <w:p w14:paraId="79C3B636" w14:textId="13ADFE5A" w:rsidR="007C6D25" w:rsidRPr="00DA663C" w:rsidRDefault="00DC56C5"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Health Outcomes</w:t>
      </w:r>
    </w:p>
    <w:p w14:paraId="0E9C60CB" w14:textId="77777777" w:rsidR="0020251E" w:rsidRPr="00DA663C" w:rsidRDefault="0086298D" w:rsidP="003C7168">
      <w:pPr>
        <w:pStyle w:val="ListParagraph"/>
        <w:numPr>
          <w:ilvl w:val="2"/>
          <w:numId w:val="9"/>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Health outcomes for Māori continue to be disproportionately poor in comparison to other population groups,</w:t>
      </w:r>
      <w:r w:rsidR="00475187" w:rsidRPr="00DA663C">
        <w:rPr>
          <w:rFonts w:ascii="Calibri Light" w:hAnsi="Calibri Light" w:cs="Calibri Light"/>
          <w:sz w:val="22"/>
          <w:szCs w:val="22"/>
        </w:rPr>
        <w:t xml:space="preserve"> </w:t>
      </w:r>
      <w:r w:rsidR="00A62AA6" w:rsidRPr="00DA663C">
        <w:rPr>
          <w:rFonts w:ascii="Calibri Light" w:hAnsi="Calibri Light" w:cs="Calibri Light"/>
          <w:sz w:val="22"/>
          <w:szCs w:val="22"/>
        </w:rPr>
        <w:t xml:space="preserve">for example </w:t>
      </w:r>
      <w:r w:rsidR="00475187" w:rsidRPr="00DA663C">
        <w:rPr>
          <w:rFonts w:ascii="Calibri Light" w:hAnsi="Calibri Light" w:cs="Calibri Light"/>
          <w:sz w:val="22"/>
          <w:szCs w:val="22"/>
        </w:rPr>
        <w:t>with Māori life expectancy</w:t>
      </w:r>
      <w:r w:rsidR="00F079D2" w:rsidRPr="00DA663C">
        <w:rPr>
          <w:rFonts w:ascii="Calibri Light" w:hAnsi="Calibri Light" w:cs="Calibri Light"/>
          <w:sz w:val="22"/>
          <w:szCs w:val="22"/>
        </w:rPr>
        <w:t xml:space="preserve"> falling </w:t>
      </w:r>
      <w:r w:rsidR="00320948" w:rsidRPr="00DA663C">
        <w:rPr>
          <w:rFonts w:ascii="Calibri Light" w:hAnsi="Calibri Light" w:cs="Calibri Light"/>
          <w:sz w:val="22"/>
          <w:szCs w:val="22"/>
        </w:rPr>
        <w:t xml:space="preserve">approximately </w:t>
      </w:r>
      <w:r w:rsidR="00F079D2" w:rsidRPr="00DA663C">
        <w:rPr>
          <w:rFonts w:ascii="Calibri Light" w:hAnsi="Calibri Light" w:cs="Calibri Light"/>
          <w:sz w:val="22"/>
          <w:szCs w:val="22"/>
        </w:rPr>
        <w:t>7 years</w:t>
      </w:r>
      <w:r w:rsidR="005140EB" w:rsidRPr="00DA663C">
        <w:rPr>
          <w:rFonts w:ascii="Calibri Light" w:hAnsi="Calibri Light" w:cs="Calibri Light"/>
          <w:sz w:val="22"/>
          <w:szCs w:val="22"/>
        </w:rPr>
        <w:t xml:space="preserve"> below non-Māori life expectancy</w:t>
      </w:r>
      <w:r w:rsidR="00475187" w:rsidRPr="00DA663C">
        <w:rPr>
          <w:rFonts w:ascii="Calibri Light" w:hAnsi="Calibri Light" w:cs="Calibri Light"/>
          <w:sz w:val="22"/>
          <w:szCs w:val="22"/>
        </w:rPr>
        <w:t>.</w:t>
      </w:r>
      <w:r w:rsidR="00084FE2" w:rsidRPr="00DA663C">
        <w:rPr>
          <w:rStyle w:val="FootnoteReference"/>
          <w:rFonts w:ascii="Calibri Light" w:hAnsi="Calibri Light" w:cs="Calibri Light"/>
          <w:sz w:val="22"/>
          <w:szCs w:val="22"/>
        </w:rPr>
        <w:footnoteReference w:id="24"/>
      </w:r>
      <w:r w:rsidRPr="00DA663C">
        <w:rPr>
          <w:rFonts w:ascii="Calibri Light" w:hAnsi="Calibri Light" w:cs="Calibri Light"/>
          <w:sz w:val="22"/>
          <w:szCs w:val="22"/>
        </w:rPr>
        <w:t xml:space="preserve"> </w:t>
      </w:r>
      <w:r w:rsidR="0020251E" w:rsidRPr="00DA663C">
        <w:rPr>
          <w:rFonts w:ascii="Calibri Light" w:hAnsi="Calibri Light" w:cs="Calibri Light"/>
          <w:sz w:val="22"/>
          <w:szCs w:val="22"/>
        </w:rPr>
        <w:t>This demonstrates that Aotearoa New Zealand is not meeting its obligation to uphold the right to enjoyment of the highest attainable standard of physical and mental health</w:t>
      </w:r>
      <w:r w:rsidR="0020251E" w:rsidRPr="00DA663C">
        <w:rPr>
          <w:rStyle w:val="FootnoteReference"/>
          <w:rFonts w:ascii="Calibri Light" w:hAnsi="Calibri Light" w:cs="Calibri Light"/>
          <w:sz w:val="22"/>
          <w:szCs w:val="22"/>
        </w:rPr>
        <w:footnoteReference w:id="25"/>
      </w:r>
      <w:r w:rsidR="0020251E" w:rsidRPr="00DA663C">
        <w:rPr>
          <w:rFonts w:ascii="Calibri Light" w:hAnsi="Calibri Light" w:cs="Calibri Light"/>
          <w:sz w:val="22"/>
          <w:szCs w:val="22"/>
        </w:rPr>
        <w:t xml:space="preserve"> without racial discrimination.</w:t>
      </w:r>
      <w:r w:rsidR="0020251E" w:rsidRPr="00DA663C">
        <w:rPr>
          <w:rStyle w:val="FootnoteReference"/>
          <w:rFonts w:ascii="Calibri Light" w:hAnsi="Calibri Light" w:cs="Calibri Light"/>
          <w:sz w:val="22"/>
          <w:szCs w:val="22"/>
        </w:rPr>
        <w:footnoteReference w:id="26"/>
      </w:r>
    </w:p>
    <w:p w14:paraId="6E5FB7A7" w14:textId="4AFE625A" w:rsidR="007A4583" w:rsidRPr="00DA663C" w:rsidRDefault="007D75C4" w:rsidP="003C7168">
      <w:pPr>
        <w:pStyle w:val="ListParagraph"/>
        <w:numPr>
          <w:ilvl w:val="2"/>
          <w:numId w:val="9"/>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The Government’s</w:t>
      </w:r>
      <w:r w:rsidR="00307316" w:rsidRPr="00DA663C">
        <w:rPr>
          <w:rFonts w:ascii="Calibri Light" w:hAnsi="Calibri Light" w:cs="Calibri Light"/>
          <w:sz w:val="22"/>
          <w:szCs w:val="22"/>
        </w:rPr>
        <w:t xml:space="preserve"> draft</w:t>
      </w:r>
      <w:r w:rsidRPr="00DA663C">
        <w:rPr>
          <w:rFonts w:ascii="Calibri Light" w:hAnsi="Calibri Light" w:cs="Calibri Light"/>
          <w:sz w:val="22"/>
          <w:szCs w:val="22"/>
        </w:rPr>
        <w:t xml:space="preserve"> fifth periodic report</w:t>
      </w:r>
      <w:r w:rsidR="00EE78FE" w:rsidRPr="00DA663C">
        <w:rPr>
          <w:rFonts w:ascii="Calibri Light" w:hAnsi="Calibri Light" w:cs="Calibri Light"/>
          <w:sz w:val="22"/>
          <w:szCs w:val="22"/>
        </w:rPr>
        <w:t xml:space="preserve"> acknowledge</w:t>
      </w:r>
      <w:r w:rsidR="00E23913" w:rsidRPr="00DA663C">
        <w:rPr>
          <w:rFonts w:ascii="Calibri Light" w:hAnsi="Calibri Light" w:cs="Calibri Light"/>
          <w:sz w:val="22"/>
          <w:szCs w:val="22"/>
        </w:rPr>
        <w:t>s</w:t>
      </w:r>
      <w:r w:rsidR="00EE78FE" w:rsidRPr="00DA663C">
        <w:rPr>
          <w:rFonts w:ascii="Calibri Light" w:hAnsi="Calibri Light" w:cs="Calibri Light"/>
          <w:sz w:val="22"/>
          <w:szCs w:val="22"/>
        </w:rPr>
        <w:t xml:space="preserve"> that Māori experience worse health outcomes, and that there is a need to address this.</w:t>
      </w:r>
      <w:r w:rsidR="00EE78FE" w:rsidRPr="00DA663C">
        <w:rPr>
          <w:rStyle w:val="FootnoteReference"/>
          <w:rFonts w:ascii="Calibri Light" w:hAnsi="Calibri Light" w:cs="Calibri Light"/>
          <w:sz w:val="22"/>
          <w:szCs w:val="22"/>
        </w:rPr>
        <w:footnoteReference w:id="27"/>
      </w:r>
      <w:r w:rsidR="0020251E" w:rsidRPr="00DA663C">
        <w:rPr>
          <w:rFonts w:ascii="Calibri Light" w:hAnsi="Calibri Light" w:cs="Calibri Light"/>
          <w:sz w:val="22"/>
          <w:szCs w:val="22"/>
        </w:rPr>
        <w:t xml:space="preserve"> However, its main action to address this</w:t>
      </w:r>
      <w:r w:rsidR="00C37BC2" w:rsidRPr="00DA663C">
        <w:rPr>
          <w:rFonts w:ascii="Calibri Light" w:hAnsi="Calibri Light" w:cs="Calibri Light"/>
          <w:sz w:val="22"/>
          <w:szCs w:val="22"/>
        </w:rPr>
        <w:t xml:space="preserve"> references is the Pae Ora (Healthy Futures) Act 2022.</w:t>
      </w:r>
      <w:r w:rsidR="0095334E" w:rsidRPr="00DA663C">
        <w:rPr>
          <w:rStyle w:val="FootnoteReference"/>
          <w:rFonts w:ascii="Calibri Light" w:hAnsi="Calibri Light" w:cs="Calibri Light"/>
          <w:sz w:val="22"/>
          <w:szCs w:val="22"/>
        </w:rPr>
        <w:footnoteReference w:id="28"/>
      </w:r>
      <w:r w:rsidR="00F043D1" w:rsidRPr="00DA663C">
        <w:rPr>
          <w:rFonts w:ascii="Calibri Light" w:hAnsi="Calibri Light" w:cs="Calibri Light"/>
          <w:sz w:val="22"/>
          <w:szCs w:val="22"/>
        </w:rPr>
        <w:t xml:space="preserve"> Yet t</w:t>
      </w:r>
      <w:r w:rsidR="007E57FF" w:rsidRPr="00DA663C">
        <w:rPr>
          <w:rFonts w:ascii="Calibri Light" w:hAnsi="Calibri Light" w:cs="Calibri Light"/>
          <w:sz w:val="22"/>
          <w:szCs w:val="22"/>
        </w:rPr>
        <w:t xml:space="preserve">he Government’s recent </w:t>
      </w:r>
      <w:r w:rsidR="00C4789E" w:rsidRPr="00DA663C">
        <w:rPr>
          <w:rFonts w:ascii="Calibri Light" w:hAnsi="Calibri Light" w:cs="Calibri Light"/>
          <w:sz w:val="22"/>
          <w:szCs w:val="22"/>
        </w:rPr>
        <w:t>disestablishment</w:t>
      </w:r>
      <w:r w:rsidR="007E57FF" w:rsidRPr="00DA663C">
        <w:rPr>
          <w:rFonts w:ascii="Calibri Light" w:hAnsi="Calibri Light" w:cs="Calibri Light"/>
          <w:sz w:val="22"/>
          <w:szCs w:val="22"/>
        </w:rPr>
        <w:t xml:space="preserve"> of </w:t>
      </w:r>
      <w:proofErr w:type="spellStart"/>
      <w:r w:rsidR="007E57FF" w:rsidRPr="00DA663C">
        <w:rPr>
          <w:rFonts w:ascii="Calibri Light" w:hAnsi="Calibri Light" w:cs="Calibri Light"/>
          <w:sz w:val="22"/>
          <w:szCs w:val="22"/>
        </w:rPr>
        <w:t>Te</w:t>
      </w:r>
      <w:proofErr w:type="spellEnd"/>
      <w:r w:rsidR="007E57FF" w:rsidRPr="00DA663C">
        <w:rPr>
          <w:rFonts w:ascii="Calibri Light" w:hAnsi="Calibri Light" w:cs="Calibri Light"/>
          <w:sz w:val="22"/>
          <w:szCs w:val="22"/>
        </w:rPr>
        <w:t xml:space="preserve"> Aka </w:t>
      </w:r>
      <w:proofErr w:type="spellStart"/>
      <w:r w:rsidR="007E57FF" w:rsidRPr="00DA663C">
        <w:rPr>
          <w:rFonts w:ascii="Calibri Light" w:hAnsi="Calibri Light" w:cs="Calibri Light"/>
          <w:sz w:val="22"/>
          <w:szCs w:val="22"/>
        </w:rPr>
        <w:t>Whai</w:t>
      </w:r>
      <w:proofErr w:type="spellEnd"/>
      <w:r w:rsidR="007E57FF" w:rsidRPr="00DA663C">
        <w:rPr>
          <w:rFonts w:ascii="Calibri Light" w:hAnsi="Calibri Light" w:cs="Calibri Light"/>
          <w:sz w:val="22"/>
          <w:szCs w:val="22"/>
        </w:rPr>
        <w:t xml:space="preserve"> Ora</w:t>
      </w:r>
      <w:r w:rsidR="006F5252" w:rsidRPr="00DA663C">
        <w:rPr>
          <w:rStyle w:val="FootnoteReference"/>
          <w:rFonts w:ascii="Calibri Light" w:hAnsi="Calibri Light" w:cs="Calibri Light"/>
          <w:sz w:val="22"/>
          <w:szCs w:val="22"/>
        </w:rPr>
        <w:footnoteReference w:id="29"/>
      </w:r>
      <w:r w:rsidR="004C289D" w:rsidRPr="00DA663C">
        <w:rPr>
          <w:rFonts w:ascii="Calibri Light" w:hAnsi="Calibri Light" w:cs="Calibri Light"/>
          <w:sz w:val="22"/>
          <w:szCs w:val="22"/>
        </w:rPr>
        <w:t xml:space="preserve"> jeopardises its </w:t>
      </w:r>
      <w:r w:rsidR="004079A7" w:rsidRPr="00DA663C">
        <w:rPr>
          <w:rFonts w:ascii="Calibri Light" w:hAnsi="Calibri Light" w:cs="Calibri Light"/>
          <w:sz w:val="22"/>
          <w:szCs w:val="22"/>
        </w:rPr>
        <w:t xml:space="preserve">ICESCR obligation to </w:t>
      </w:r>
      <w:r w:rsidR="00D1210C" w:rsidRPr="00DA663C">
        <w:rPr>
          <w:rFonts w:ascii="Calibri Light" w:hAnsi="Calibri Light" w:cs="Calibri Light"/>
          <w:sz w:val="22"/>
          <w:szCs w:val="22"/>
        </w:rPr>
        <w:t>ensure</w:t>
      </w:r>
      <w:r w:rsidR="004079A7" w:rsidRPr="00DA663C">
        <w:rPr>
          <w:rFonts w:ascii="Calibri Light" w:hAnsi="Calibri Light" w:cs="Calibri Light"/>
          <w:sz w:val="22"/>
          <w:szCs w:val="22"/>
        </w:rPr>
        <w:t xml:space="preserve"> medical services </w:t>
      </w:r>
      <w:r w:rsidR="00FC1B00" w:rsidRPr="00DA663C">
        <w:rPr>
          <w:rFonts w:ascii="Calibri Light" w:hAnsi="Calibri Light" w:cs="Calibri Light"/>
          <w:sz w:val="22"/>
          <w:szCs w:val="22"/>
        </w:rPr>
        <w:t>enabling</w:t>
      </w:r>
      <w:r w:rsidR="004C289D" w:rsidRPr="00DA663C">
        <w:rPr>
          <w:rFonts w:ascii="Calibri Light" w:hAnsi="Calibri Light" w:cs="Calibri Light"/>
          <w:sz w:val="22"/>
          <w:szCs w:val="22"/>
        </w:rPr>
        <w:t xml:space="preserve"> realis</w:t>
      </w:r>
      <w:r w:rsidR="00FC1B00" w:rsidRPr="00DA663C">
        <w:rPr>
          <w:rFonts w:ascii="Calibri Light" w:hAnsi="Calibri Light" w:cs="Calibri Light"/>
          <w:sz w:val="22"/>
          <w:szCs w:val="22"/>
        </w:rPr>
        <w:t xml:space="preserve">ation of </w:t>
      </w:r>
      <w:r w:rsidR="004C289D" w:rsidRPr="00DA663C">
        <w:rPr>
          <w:rFonts w:ascii="Calibri Light" w:hAnsi="Calibri Light" w:cs="Calibri Light"/>
          <w:sz w:val="22"/>
          <w:szCs w:val="22"/>
        </w:rPr>
        <w:t>Māori rights to health standards</w:t>
      </w:r>
      <w:r w:rsidR="004079A7" w:rsidRPr="00DA663C">
        <w:rPr>
          <w:rFonts w:ascii="Calibri Light" w:hAnsi="Calibri Light" w:cs="Calibri Light"/>
          <w:sz w:val="22"/>
          <w:szCs w:val="22"/>
        </w:rPr>
        <w:t>,</w:t>
      </w:r>
      <w:r w:rsidR="004079A7" w:rsidRPr="00DA663C">
        <w:rPr>
          <w:rStyle w:val="FootnoteReference"/>
          <w:rFonts w:ascii="Calibri Light" w:hAnsi="Calibri Light" w:cs="Calibri Light"/>
          <w:sz w:val="22"/>
          <w:szCs w:val="22"/>
        </w:rPr>
        <w:footnoteReference w:id="30"/>
      </w:r>
      <w:r w:rsidR="004079A7" w:rsidRPr="00DA663C">
        <w:rPr>
          <w:rFonts w:ascii="Calibri Light" w:hAnsi="Calibri Light" w:cs="Calibri Light"/>
          <w:sz w:val="22"/>
          <w:szCs w:val="22"/>
        </w:rPr>
        <w:t xml:space="preserve"> as a comparable health institution or structure has not replaced it, despite Government assurances to the contrary</w:t>
      </w:r>
      <w:r w:rsidR="00025108" w:rsidRPr="00DA663C">
        <w:rPr>
          <w:rFonts w:ascii="Calibri Light" w:hAnsi="Calibri Light" w:cs="Calibri Light"/>
          <w:sz w:val="22"/>
          <w:szCs w:val="22"/>
        </w:rPr>
        <w:t>.</w:t>
      </w:r>
      <w:r w:rsidR="00025108" w:rsidRPr="00DA663C">
        <w:rPr>
          <w:rStyle w:val="FootnoteReference"/>
          <w:rFonts w:ascii="Calibri Light" w:hAnsi="Calibri Light" w:cs="Calibri Light"/>
          <w:sz w:val="22"/>
          <w:szCs w:val="22"/>
        </w:rPr>
        <w:footnoteReference w:id="31"/>
      </w:r>
      <w:r w:rsidR="009C1754" w:rsidRPr="00DA663C">
        <w:rPr>
          <w:rFonts w:ascii="Calibri Light" w:hAnsi="Calibri Light" w:cs="Calibri Light"/>
          <w:sz w:val="22"/>
          <w:szCs w:val="22"/>
        </w:rPr>
        <w:t xml:space="preserve"> The Government justifies this </w:t>
      </w:r>
      <w:r w:rsidR="003A0500" w:rsidRPr="00DA663C">
        <w:rPr>
          <w:rFonts w:ascii="Calibri Light" w:hAnsi="Calibri Light" w:cs="Calibri Light"/>
          <w:sz w:val="22"/>
          <w:szCs w:val="22"/>
        </w:rPr>
        <w:t xml:space="preserve">saying that </w:t>
      </w:r>
      <w:proofErr w:type="spellStart"/>
      <w:r w:rsidR="003A0500" w:rsidRPr="00DA663C">
        <w:rPr>
          <w:rFonts w:ascii="Calibri Light" w:hAnsi="Calibri Light" w:cs="Calibri Light"/>
          <w:sz w:val="22"/>
          <w:szCs w:val="22"/>
        </w:rPr>
        <w:t>Te</w:t>
      </w:r>
      <w:proofErr w:type="spellEnd"/>
      <w:r w:rsidR="003A0500" w:rsidRPr="00DA663C">
        <w:rPr>
          <w:rFonts w:ascii="Calibri Light" w:hAnsi="Calibri Light" w:cs="Calibri Light"/>
          <w:sz w:val="22"/>
          <w:szCs w:val="22"/>
        </w:rPr>
        <w:t xml:space="preserve"> Aka </w:t>
      </w:r>
      <w:proofErr w:type="spellStart"/>
      <w:r w:rsidR="003A0500" w:rsidRPr="00DA663C">
        <w:rPr>
          <w:rFonts w:ascii="Calibri Light" w:hAnsi="Calibri Light" w:cs="Calibri Light"/>
          <w:sz w:val="22"/>
          <w:szCs w:val="22"/>
        </w:rPr>
        <w:t>Whai</w:t>
      </w:r>
      <w:proofErr w:type="spellEnd"/>
      <w:r w:rsidR="003A0500" w:rsidRPr="00DA663C">
        <w:rPr>
          <w:rFonts w:ascii="Calibri Light" w:hAnsi="Calibri Light" w:cs="Calibri Light"/>
          <w:sz w:val="22"/>
          <w:szCs w:val="22"/>
        </w:rPr>
        <w:t xml:space="preserve"> Ora was replaced with a new vision and plan </w:t>
      </w:r>
      <w:r w:rsidR="006E5769" w:rsidRPr="00DA663C">
        <w:rPr>
          <w:rFonts w:ascii="Calibri Light" w:hAnsi="Calibri Light" w:cs="Calibri Light"/>
          <w:sz w:val="22"/>
          <w:szCs w:val="22"/>
        </w:rPr>
        <w:t xml:space="preserve">for Māori health. However, to date, such a vision and plan have not been developed. </w:t>
      </w:r>
      <w:proofErr w:type="spellStart"/>
      <w:r w:rsidR="006E5769" w:rsidRPr="00DA663C">
        <w:rPr>
          <w:rFonts w:ascii="Calibri Light" w:hAnsi="Calibri Light" w:cs="Calibri Light"/>
          <w:sz w:val="22"/>
          <w:szCs w:val="22"/>
        </w:rPr>
        <w:t>Te</w:t>
      </w:r>
      <w:proofErr w:type="spellEnd"/>
      <w:r w:rsidR="006E5769" w:rsidRPr="00DA663C">
        <w:rPr>
          <w:rFonts w:ascii="Calibri Light" w:hAnsi="Calibri Light" w:cs="Calibri Light"/>
          <w:sz w:val="22"/>
          <w:szCs w:val="22"/>
        </w:rPr>
        <w:t xml:space="preserve"> Aka </w:t>
      </w:r>
      <w:proofErr w:type="spellStart"/>
      <w:r w:rsidR="006E5769" w:rsidRPr="00DA663C">
        <w:rPr>
          <w:rFonts w:ascii="Calibri Light" w:hAnsi="Calibri Light" w:cs="Calibri Light"/>
          <w:sz w:val="22"/>
          <w:szCs w:val="22"/>
        </w:rPr>
        <w:t>Whai</w:t>
      </w:r>
      <w:proofErr w:type="spellEnd"/>
      <w:r w:rsidR="006E5769" w:rsidRPr="00DA663C">
        <w:rPr>
          <w:rFonts w:ascii="Calibri Light" w:hAnsi="Calibri Light" w:cs="Calibri Light"/>
          <w:sz w:val="22"/>
          <w:szCs w:val="22"/>
        </w:rPr>
        <w:t xml:space="preserve"> Ora was disestablished before an alternative was presented, and no alternative has been presented which works on the same scale to affirm </w:t>
      </w:r>
      <w:proofErr w:type="spellStart"/>
      <w:r w:rsidR="006E5769" w:rsidRPr="00DA663C">
        <w:rPr>
          <w:rFonts w:ascii="Calibri Light" w:hAnsi="Calibri Light" w:cs="Calibri Light"/>
          <w:sz w:val="22"/>
          <w:szCs w:val="22"/>
        </w:rPr>
        <w:t>tino</w:t>
      </w:r>
      <w:proofErr w:type="spellEnd"/>
      <w:r w:rsidR="006E5769" w:rsidRPr="00DA663C">
        <w:rPr>
          <w:rFonts w:ascii="Calibri Light" w:hAnsi="Calibri Light" w:cs="Calibri Light"/>
          <w:sz w:val="22"/>
          <w:szCs w:val="22"/>
        </w:rPr>
        <w:t xml:space="preserve"> rangatiratanga and directly support Māori health outcomes in the same way.</w:t>
      </w:r>
    </w:p>
    <w:p w14:paraId="4C81C5BB" w14:textId="33265E9E" w:rsidR="00523342" w:rsidRPr="00DA663C" w:rsidRDefault="00523342" w:rsidP="003C7168">
      <w:pPr>
        <w:pStyle w:val="ListParagraph"/>
        <w:numPr>
          <w:ilvl w:val="2"/>
          <w:numId w:val="9"/>
        </w:numPr>
        <w:spacing w:line="276" w:lineRule="auto"/>
        <w:ind w:left="2126"/>
        <w:contextualSpacing w:val="0"/>
        <w:jc w:val="both"/>
        <w:rPr>
          <w:rFonts w:ascii="Calibri Light" w:hAnsi="Calibri Light" w:cs="Calibri Light"/>
          <w:sz w:val="22"/>
          <w:szCs w:val="22"/>
        </w:rPr>
      </w:pPr>
      <w:r w:rsidRPr="00DA663C">
        <w:rPr>
          <w:rFonts w:ascii="Calibri Light" w:hAnsi="Calibri Light" w:cs="Calibri Light"/>
          <w:sz w:val="22"/>
          <w:szCs w:val="22"/>
        </w:rPr>
        <w:t>The Waitangi Tribunal</w:t>
      </w:r>
      <w:r w:rsidR="00BF185F" w:rsidRPr="00DA663C">
        <w:rPr>
          <w:rStyle w:val="FootnoteReference"/>
          <w:rFonts w:ascii="Calibri Light" w:hAnsi="Calibri Light" w:cs="Calibri Light"/>
          <w:sz w:val="22"/>
          <w:szCs w:val="22"/>
        </w:rPr>
        <w:footnoteReference w:id="32"/>
      </w:r>
      <w:r w:rsidRPr="00DA663C">
        <w:rPr>
          <w:rFonts w:ascii="Calibri Light" w:hAnsi="Calibri Light" w:cs="Calibri Light"/>
          <w:sz w:val="22"/>
          <w:szCs w:val="22"/>
        </w:rPr>
        <w:t xml:space="preserve"> has investigated Māori health inequities and provided recommendations for the Government to address them, particularly in the areas </w:t>
      </w:r>
      <w:r w:rsidRPr="00DA663C">
        <w:rPr>
          <w:rFonts w:ascii="Calibri Light" w:hAnsi="Calibri Light" w:cs="Calibri Light"/>
          <w:sz w:val="22"/>
          <w:szCs w:val="22"/>
        </w:rPr>
        <w:lastRenderedPageBreak/>
        <w:t xml:space="preserve">of </w:t>
      </w:r>
      <w:r w:rsidR="00E16762" w:rsidRPr="00DA663C">
        <w:rPr>
          <w:rFonts w:ascii="Calibri Light" w:hAnsi="Calibri Light" w:cs="Calibri Light"/>
          <w:sz w:val="22"/>
          <w:szCs w:val="22"/>
        </w:rPr>
        <w:t xml:space="preserve">hospital services, </w:t>
      </w:r>
      <w:r w:rsidR="00427C37" w:rsidRPr="00DA663C">
        <w:rPr>
          <w:rFonts w:ascii="Calibri Light" w:hAnsi="Calibri Light" w:cs="Calibri Light"/>
          <w:sz w:val="22"/>
          <w:szCs w:val="22"/>
        </w:rPr>
        <w:t xml:space="preserve">health services and outcomes, </w:t>
      </w:r>
      <w:r w:rsidRPr="00DA663C">
        <w:rPr>
          <w:rFonts w:ascii="Calibri Light" w:hAnsi="Calibri Light" w:cs="Calibri Light"/>
          <w:sz w:val="22"/>
          <w:szCs w:val="22"/>
        </w:rPr>
        <w:t xml:space="preserve">COVID-19 response and </w:t>
      </w:r>
      <w:r w:rsidR="00427C37" w:rsidRPr="00DA663C">
        <w:rPr>
          <w:rFonts w:ascii="Calibri Light" w:hAnsi="Calibri Light" w:cs="Calibri Light"/>
          <w:sz w:val="22"/>
          <w:szCs w:val="22"/>
        </w:rPr>
        <w:t xml:space="preserve">the disestablishment of </w:t>
      </w:r>
      <w:proofErr w:type="spellStart"/>
      <w:r w:rsidRPr="00DA663C">
        <w:rPr>
          <w:rFonts w:ascii="Calibri Light" w:hAnsi="Calibri Light" w:cs="Calibri Light"/>
          <w:sz w:val="22"/>
          <w:szCs w:val="22"/>
        </w:rPr>
        <w:t>Te</w:t>
      </w:r>
      <w:proofErr w:type="spellEnd"/>
      <w:r w:rsidRPr="00DA663C">
        <w:rPr>
          <w:rFonts w:ascii="Calibri Light" w:hAnsi="Calibri Light" w:cs="Calibri Light"/>
          <w:sz w:val="22"/>
          <w:szCs w:val="22"/>
        </w:rPr>
        <w:t xml:space="preserve"> Aka </w:t>
      </w:r>
      <w:proofErr w:type="spellStart"/>
      <w:r w:rsidRPr="00DA663C">
        <w:rPr>
          <w:rFonts w:ascii="Calibri Light" w:hAnsi="Calibri Light" w:cs="Calibri Light"/>
          <w:sz w:val="22"/>
          <w:szCs w:val="22"/>
        </w:rPr>
        <w:t>Whai</w:t>
      </w:r>
      <w:proofErr w:type="spellEnd"/>
      <w:r w:rsidRPr="00DA663C">
        <w:rPr>
          <w:rFonts w:ascii="Calibri Light" w:hAnsi="Calibri Light" w:cs="Calibri Light"/>
          <w:sz w:val="22"/>
          <w:szCs w:val="22"/>
        </w:rPr>
        <w:t xml:space="preserve"> Ora.</w:t>
      </w:r>
      <w:r w:rsidR="00B41720" w:rsidRPr="00DA663C">
        <w:rPr>
          <w:rStyle w:val="FootnoteReference"/>
          <w:rFonts w:ascii="Calibri Light" w:hAnsi="Calibri Light" w:cs="Calibri Light"/>
          <w:sz w:val="22"/>
          <w:szCs w:val="22"/>
        </w:rPr>
        <w:footnoteReference w:id="33"/>
      </w:r>
      <w:r w:rsidRPr="00DA663C">
        <w:rPr>
          <w:rFonts w:ascii="Calibri Light" w:hAnsi="Calibri Light" w:cs="Calibri Light"/>
          <w:sz w:val="22"/>
          <w:szCs w:val="22"/>
        </w:rPr>
        <w:t xml:space="preserve"> The Government has not implemented many of the Tribunal’s recommendations.</w:t>
      </w:r>
      <w:r w:rsidR="00E23913" w:rsidRPr="00DA663C">
        <w:rPr>
          <w:rFonts w:ascii="Calibri Light" w:hAnsi="Calibri Light" w:cs="Calibri Light"/>
          <w:sz w:val="22"/>
          <w:szCs w:val="22"/>
        </w:rPr>
        <w:t xml:space="preserve"> It should commit to doing so in its report to CESCR.</w:t>
      </w:r>
    </w:p>
    <w:p w14:paraId="5791A290" w14:textId="32303713" w:rsidR="00FC1B00" w:rsidRPr="00DA663C" w:rsidRDefault="00FB2B07" w:rsidP="003C7168">
      <w:pPr>
        <w:pStyle w:val="ListParagraph"/>
        <w:numPr>
          <w:ilvl w:val="1"/>
          <w:numId w:val="3"/>
        </w:numPr>
        <w:spacing w:line="276" w:lineRule="auto"/>
        <w:ind w:hanging="731"/>
        <w:contextualSpacing w:val="0"/>
        <w:jc w:val="both"/>
        <w:rPr>
          <w:rFonts w:ascii="Calibri Light" w:hAnsi="Calibri Light" w:cs="Calibri Light"/>
          <w:sz w:val="22"/>
          <w:szCs w:val="22"/>
        </w:rPr>
      </w:pPr>
      <w:r w:rsidRPr="00DA663C">
        <w:rPr>
          <w:rFonts w:ascii="Calibri Light" w:hAnsi="Calibri Light" w:cs="Calibri Light"/>
          <w:sz w:val="22"/>
          <w:szCs w:val="22"/>
        </w:rPr>
        <w:t>Poverty and Housing</w:t>
      </w:r>
    </w:p>
    <w:p w14:paraId="3E41934E" w14:textId="2A5D8B83" w:rsidR="004609F1" w:rsidRPr="00DA663C" w:rsidRDefault="004609F1" w:rsidP="003C7168">
      <w:pPr>
        <w:pStyle w:val="ListParagraph"/>
        <w:numPr>
          <w:ilvl w:val="2"/>
          <w:numId w:val="10"/>
        </w:numPr>
        <w:spacing w:line="276" w:lineRule="auto"/>
        <w:ind w:left="2127"/>
        <w:contextualSpacing w:val="0"/>
        <w:jc w:val="both"/>
        <w:rPr>
          <w:rFonts w:ascii="Calibri Light" w:hAnsi="Calibri Light" w:cs="Calibri Light"/>
          <w:sz w:val="22"/>
          <w:szCs w:val="22"/>
        </w:rPr>
      </w:pPr>
      <w:r w:rsidRPr="00DA663C">
        <w:rPr>
          <w:rFonts w:ascii="Calibri Light" w:hAnsi="Calibri Light" w:cs="Calibri Light"/>
          <w:sz w:val="22"/>
          <w:szCs w:val="22"/>
        </w:rPr>
        <w:t xml:space="preserve">Social and economic outcomes for Māori remain far below outcomes for the general population, illustrating a </w:t>
      </w:r>
      <w:r w:rsidR="00E23913" w:rsidRPr="00DA663C">
        <w:rPr>
          <w:rFonts w:ascii="Calibri Light" w:hAnsi="Calibri Light" w:cs="Calibri Light"/>
          <w:sz w:val="22"/>
          <w:szCs w:val="22"/>
        </w:rPr>
        <w:t>failure to</w:t>
      </w:r>
      <w:r w:rsidRPr="00DA663C">
        <w:rPr>
          <w:rFonts w:ascii="Calibri Light" w:hAnsi="Calibri Light" w:cs="Calibri Light"/>
          <w:sz w:val="22"/>
          <w:szCs w:val="22"/>
        </w:rPr>
        <w:t xml:space="preserve"> realis</w:t>
      </w:r>
      <w:r w:rsidR="00E23913" w:rsidRPr="00DA663C">
        <w:rPr>
          <w:rFonts w:ascii="Calibri Light" w:hAnsi="Calibri Light" w:cs="Calibri Light"/>
          <w:sz w:val="22"/>
          <w:szCs w:val="22"/>
        </w:rPr>
        <w:t>e</w:t>
      </w:r>
      <w:r w:rsidRPr="00DA663C">
        <w:rPr>
          <w:rFonts w:ascii="Calibri Light" w:hAnsi="Calibri Light" w:cs="Calibri Light"/>
          <w:sz w:val="22"/>
          <w:szCs w:val="22"/>
        </w:rPr>
        <w:t xml:space="preserve"> of</w:t>
      </w:r>
      <w:r w:rsidR="00E23913" w:rsidRPr="00DA663C">
        <w:rPr>
          <w:rFonts w:ascii="Calibri Light" w:hAnsi="Calibri Light" w:cs="Calibri Light"/>
          <w:sz w:val="22"/>
          <w:szCs w:val="22"/>
        </w:rPr>
        <w:t xml:space="preserve"> the</w:t>
      </w:r>
      <w:r w:rsidRPr="00DA663C">
        <w:rPr>
          <w:rFonts w:ascii="Calibri Light" w:hAnsi="Calibri Light" w:cs="Calibri Light"/>
          <w:sz w:val="22"/>
          <w:szCs w:val="22"/>
        </w:rPr>
        <w:t xml:space="preserve"> ICESCR right to an adequate standard of living </w:t>
      </w:r>
      <w:r w:rsidR="00E23913" w:rsidRPr="00DA663C">
        <w:rPr>
          <w:rFonts w:ascii="Calibri Light" w:hAnsi="Calibri Light" w:cs="Calibri Light"/>
          <w:sz w:val="22"/>
          <w:szCs w:val="22"/>
        </w:rPr>
        <w:t>with respect</w:t>
      </w:r>
      <w:r w:rsidR="00D1210C" w:rsidRPr="00DA663C">
        <w:rPr>
          <w:rFonts w:ascii="Calibri Light" w:hAnsi="Calibri Light" w:cs="Calibri Light"/>
          <w:sz w:val="22"/>
          <w:szCs w:val="22"/>
        </w:rPr>
        <w:t xml:space="preserve"> </w:t>
      </w:r>
      <w:r w:rsidR="00E23913" w:rsidRPr="00DA663C">
        <w:rPr>
          <w:rFonts w:ascii="Calibri Light" w:hAnsi="Calibri Light" w:cs="Calibri Light"/>
          <w:sz w:val="22"/>
          <w:szCs w:val="22"/>
        </w:rPr>
        <w:t>to</w:t>
      </w:r>
      <w:r w:rsidRPr="00DA663C">
        <w:rPr>
          <w:rFonts w:ascii="Calibri Light" w:hAnsi="Calibri Light" w:cs="Calibri Light"/>
          <w:sz w:val="22"/>
          <w:szCs w:val="22"/>
        </w:rPr>
        <w:t xml:space="preserve"> food, housing and living conditions.</w:t>
      </w:r>
      <w:r w:rsidRPr="00DA663C">
        <w:rPr>
          <w:rStyle w:val="FootnoteReference"/>
          <w:rFonts w:ascii="Calibri Light" w:hAnsi="Calibri Light" w:cs="Calibri Light"/>
          <w:sz w:val="22"/>
          <w:szCs w:val="22"/>
        </w:rPr>
        <w:footnoteReference w:id="34"/>
      </w:r>
    </w:p>
    <w:p w14:paraId="20F63514" w14:textId="69FEDBE5" w:rsidR="00317F17" w:rsidRPr="00DA663C" w:rsidRDefault="00523342" w:rsidP="003C7168">
      <w:pPr>
        <w:pStyle w:val="ListParagraph"/>
        <w:numPr>
          <w:ilvl w:val="2"/>
          <w:numId w:val="10"/>
        </w:numPr>
        <w:spacing w:line="276" w:lineRule="auto"/>
        <w:ind w:left="2127"/>
        <w:contextualSpacing w:val="0"/>
        <w:jc w:val="both"/>
        <w:rPr>
          <w:rFonts w:ascii="Calibri Light" w:hAnsi="Calibri Light" w:cs="Calibri Light"/>
          <w:sz w:val="22"/>
          <w:szCs w:val="22"/>
        </w:rPr>
      </w:pPr>
      <w:r w:rsidRPr="00DA663C">
        <w:rPr>
          <w:rFonts w:ascii="Calibri Light" w:hAnsi="Calibri Light" w:cs="Calibri Light"/>
          <w:sz w:val="22"/>
          <w:szCs w:val="22"/>
        </w:rPr>
        <w:t>The Waitangi Tribunal has investigated Māori</w:t>
      </w:r>
      <w:r w:rsidR="009F724F" w:rsidRPr="00DA663C">
        <w:rPr>
          <w:rFonts w:ascii="Calibri Light" w:hAnsi="Calibri Light" w:cs="Calibri Light"/>
          <w:sz w:val="22"/>
          <w:szCs w:val="22"/>
        </w:rPr>
        <w:t xml:space="preserve"> homelessness, finding that the Government failed to </w:t>
      </w:r>
      <w:r w:rsidR="00D55DB6" w:rsidRPr="00DA663C">
        <w:rPr>
          <w:rFonts w:ascii="Calibri Light" w:hAnsi="Calibri Light" w:cs="Calibri Light"/>
          <w:sz w:val="22"/>
          <w:szCs w:val="22"/>
        </w:rPr>
        <w:t xml:space="preserve">consult with Māori concerning the definition of homelessness, </w:t>
      </w:r>
      <w:r w:rsidR="00227E58" w:rsidRPr="00DA663C">
        <w:rPr>
          <w:rFonts w:ascii="Calibri Light" w:hAnsi="Calibri Light" w:cs="Calibri Light"/>
          <w:sz w:val="22"/>
          <w:szCs w:val="22"/>
        </w:rPr>
        <w:t xml:space="preserve">failed to </w:t>
      </w:r>
      <w:r w:rsidR="00D55DB6" w:rsidRPr="00DA663C">
        <w:rPr>
          <w:rFonts w:ascii="Calibri Light" w:hAnsi="Calibri Light" w:cs="Calibri Light"/>
          <w:sz w:val="22"/>
          <w:szCs w:val="22"/>
        </w:rPr>
        <w:t>c</w:t>
      </w:r>
      <w:r w:rsidR="00350B3F" w:rsidRPr="00DA663C">
        <w:rPr>
          <w:rFonts w:ascii="Calibri Light" w:hAnsi="Calibri Light" w:cs="Calibri Light"/>
          <w:sz w:val="22"/>
          <w:szCs w:val="22"/>
        </w:rPr>
        <w:t>ollect data on homelessness,</w:t>
      </w:r>
      <w:r w:rsidR="00981B7D" w:rsidRPr="00DA663C">
        <w:rPr>
          <w:rFonts w:ascii="Calibri Light" w:hAnsi="Calibri Light" w:cs="Calibri Light"/>
          <w:sz w:val="22"/>
          <w:szCs w:val="22"/>
        </w:rPr>
        <w:t xml:space="preserve"> </w:t>
      </w:r>
      <w:r w:rsidR="00DF660E" w:rsidRPr="00DA663C">
        <w:rPr>
          <w:rFonts w:ascii="Calibri Light" w:hAnsi="Calibri Light" w:cs="Calibri Light"/>
          <w:sz w:val="22"/>
          <w:szCs w:val="22"/>
        </w:rPr>
        <w:t xml:space="preserve">inequitably </w:t>
      </w:r>
      <w:r w:rsidR="00981B7D" w:rsidRPr="00DA663C">
        <w:rPr>
          <w:rFonts w:ascii="Calibri Light" w:hAnsi="Calibri Light" w:cs="Calibri Light"/>
          <w:sz w:val="22"/>
          <w:szCs w:val="22"/>
        </w:rPr>
        <w:t>provided inadequate housing for Māori in terms of security</w:t>
      </w:r>
      <w:r w:rsidR="00DF660E" w:rsidRPr="00DA663C">
        <w:rPr>
          <w:rFonts w:ascii="Calibri Light" w:hAnsi="Calibri Light" w:cs="Calibri Light"/>
          <w:sz w:val="22"/>
          <w:szCs w:val="22"/>
        </w:rPr>
        <w:t xml:space="preserve">, failed to implement or monitor progress with its own housing policy of He Whare </w:t>
      </w:r>
      <w:proofErr w:type="spellStart"/>
      <w:r w:rsidR="00DF660E" w:rsidRPr="00DA663C">
        <w:rPr>
          <w:rFonts w:ascii="Calibri Light" w:hAnsi="Calibri Light" w:cs="Calibri Light"/>
          <w:sz w:val="22"/>
          <w:szCs w:val="22"/>
        </w:rPr>
        <w:t>Āhuru</w:t>
      </w:r>
      <w:proofErr w:type="spellEnd"/>
      <w:r w:rsidR="00DF660E" w:rsidRPr="00DA663C">
        <w:rPr>
          <w:rFonts w:ascii="Calibri Light" w:hAnsi="Calibri Light" w:cs="Calibri Light"/>
          <w:sz w:val="22"/>
          <w:szCs w:val="22"/>
        </w:rPr>
        <w:t xml:space="preserve">, </w:t>
      </w:r>
      <w:r w:rsidR="00510D0A" w:rsidRPr="00DA663C">
        <w:rPr>
          <w:rFonts w:ascii="Calibri Light" w:hAnsi="Calibri Light" w:cs="Calibri Light"/>
          <w:sz w:val="22"/>
          <w:szCs w:val="22"/>
        </w:rPr>
        <w:t>and failed to protect the particularly vulnerable group of young Māori</w:t>
      </w:r>
      <w:r w:rsidRPr="00DA663C">
        <w:rPr>
          <w:rFonts w:ascii="Calibri Light" w:hAnsi="Calibri Light" w:cs="Calibri Light"/>
          <w:sz w:val="22"/>
          <w:szCs w:val="22"/>
        </w:rPr>
        <w:t>.</w:t>
      </w:r>
      <w:r w:rsidRPr="00DA663C">
        <w:rPr>
          <w:rStyle w:val="FootnoteReference"/>
          <w:rFonts w:ascii="Calibri Light" w:hAnsi="Calibri Light" w:cs="Calibri Light"/>
          <w:sz w:val="22"/>
          <w:szCs w:val="22"/>
        </w:rPr>
        <w:footnoteReference w:id="35"/>
      </w:r>
      <w:r w:rsidRPr="00DA663C">
        <w:rPr>
          <w:rFonts w:ascii="Calibri Light" w:hAnsi="Calibri Light" w:cs="Calibri Light"/>
          <w:sz w:val="22"/>
          <w:szCs w:val="22"/>
        </w:rPr>
        <w:t xml:space="preserve"> The Government has </w:t>
      </w:r>
      <w:r w:rsidR="00B06D55" w:rsidRPr="00DA663C">
        <w:rPr>
          <w:rFonts w:ascii="Calibri Light" w:hAnsi="Calibri Light" w:cs="Calibri Light"/>
          <w:sz w:val="22"/>
          <w:szCs w:val="22"/>
        </w:rPr>
        <w:t xml:space="preserve">not </w:t>
      </w:r>
      <w:r w:rsidR="00CB56F5" w:rsidRPr="00DA663C">
        <w:rPr>
          <w:rFonts w:ascii="Calibri Light" w:hAnsi="Calibri Light" w:cs="Calibri Light"/>
          <w:sz w:val="22"/>
          <w:szCs w:val="22"/>
        </w:rPr>
        <w:t xml:space="preserve">substantively addressed </w:t>
      </w:r>
      <w:r w:rsidRPr="00DA663C">
        <w:rPr>
          <w:rFonts w:ascii="Calibri Light" w:hAnsi="Calibri Light" w:cs="Calibri Light"/>
          <w:sz w:val="22"/>
          <w:szCs w:val="22"/>
        </w:rPr>
        <w:t>the Tribunal’s</w:t>
      </w:r>
      <w:r w:rsidR="00B06D55" w:rsidRPr="00DA663C">
        <w:rPr>
          <w:rFonts w:ascii="Calibri Light" w:hAnsi="Calibri Light" w:cs="Calibri Light"/>
          <w:sz w:val="22"/>
          <w:szCs w:val="22"/>
        </w:rPr>
        <w:t xml:space="preserve"> findings</w:t>
      </w:r>
      <w:r w:rsidR="00616B57" w:rsidRPr="00DA663C">
        <w:rPr>
          <w:rFonts w:ascii="Calibri Light" w:hAnsi="Calibri Light" w:cs="Calibri Light"/>
          <w:sz w:val="22"/>
          <w:szCs w:val="22"/>
        </w:rPr>
        <w:t xml:space="preserve">. It should note this in its draft fifth periodic report when it analyses </w:t>
      </w:r>
      <w:r w:rsidR="00653E26" w:rsidRPr="00DA663C">
        <w:rPr>
          <w:rFonts w:ascii="Calibri Light" w:hAnsi="Calibri Light" w:cs="Calibri Light"/>
          <w:sz w:val="22"/>
          <w:szCs w:val="22"/>
        </w:rPr>
        <w:t xml:space="preserve">the </w:t>
      </w:r>
      <w:r w:rsidR="001B48C8" w:rsidRPr="00DA663C">
        <w:rPr>
          <w:rFonts w:ascii="Calibri Light" w:hAnsi="Calibri Light" w:cs="Calibri Light"/>
          <w:sz w:val="22"/>
          <w:szCs w:val="22"/>
        </w:rPr>
        <w:t xml:space="preserve">Government’s housing strategy </w:t>
      </w:r>
      <w:r w:rsidR="00653E26" w:rsidRPr="00DA663C">
        <w:rPr>
          <w:rFonts w:ascii="Calibri Light" w:hAnsi="Calibri Light" w:cs="Calibri Light"/>
          <w:sz w:val="22"/>
          <w:szCs w:val="22"/>
        </w:rPr>
        <w:t xml:space="preserve">alignment with </w:t>
      </w:r>
      <w:proofErr w:type="spellStart"/>
      <w:r w:rsidR="00653E26" w:rsidRPr="00DA663C">
        <w:rPr>
          <w:rFonts w:ascii="Calibri Light" w:hAnsi="Calibri Light" w:cs="Calibri Light"/>
          <w:sz w:val="22"/>
          <w:szCs w:val="22"/>
        </w:rPr>
        <w:t>te</w:t>
      </w:r>
      <w:proofErr w:type="spellEnd"/>
      <w:r w:rsidR="00653E26" w:rsidRPr="00DA663C">
        <w:rPr>
          <w:rFonts w:ascii="Calibri Light" w:hAnsi="Calibri Light" w:cs="Calibri Light"/>
          <w:sz w:val="22"/>
          <w:szCs w:val="22"/>
        </w:rPr>
        <w:t xml:space="preserve"> </w:t>
      </w:r>
      <w:proofErr w:type="spellStart"/>
      <w:r w:rsidR="00653E26" w:rsidRPr="00DA663C">
        <w:rPr>
          <w:rFonts w:ascii="Calibri Light" w:hAnsi="Calibri Light" w:cs="Calibri Light"/>
          <w:sz w:val="22"/>
          <w:szCs w:val="22"/>
        </w:rPr>
        <w:t>Tiriti</w:t>
      </w:r>
      <w:proofErr w:type="spellEnd"/>
      <w:r w:rsidR="00653E26" w:rsidRPr="00DA663C">
        <w:rPr>
          <w:rFonts w:ascii="Calibri Light" w:hAnsi="Calibri Light" w:cs="Calibri Light"/>
          <w:sz w:val="22"/>
          <w:szCs w:val="22"/>
        </w:rPr>
        <w:t>.</w:t>
      </w:r>
      <w:r w:rsidR="001F010C" w:rsidRPr="00DA663C">
        <w:rPr>
          <w:rStyle w:val="FootnoteReference"/>
          <w:rFonts w:ascii="Calibri Light" w:hAnsi="Calibri Light" w:cs="Calibri Light"/>
          <w:sz w:val="22"/>
          <w:szCs w:val="22"/>
        </w:rPr>
        <w:footnoteReference w:id="36"/>
      </w:r>
    </w:p>
    <w:p w14:paraId="3835F133" w14:textId="2A1C2817" w:rsidR="008B4161" w:rsidRPr="00DA663C" w:rsidRDefault="007D3A10" w:rsidP="003C7168">
      <w:pPr>
        <w:pStyle w:val="Heading1"/>
        <w:spacing w:line="276" w:lineRule="auto"/>
        <w:rPr>
          <w:rFonts w:ascii="Calibri Light" w:hAnsi="Calibri Light" w:cs="Calibri Light"/>
          <w:b w:val="0"/>
          <w:bCs w:val="0"/>
          <w:sz w:val="22"/>
          <w:szCs w:val="22"/>
        </w:rPr>
      </w:pPr>
      <w:r w:rsidRPr="00DA663C">
        <w:rPr>
          <w:rFonts w:ascii="Calibri Light" w:hAnsi="Calibri Light" w:cs="Calibri Light"/>
          <w:b w:val="0"/>
          <w:bCs w:val="0"/>
          <w:sz w:val="22"/>
          <w:szCs w:val="22"/>
        </w:rPr>
        <w:t>CONCLU</w:t>
      </w:r>
      <w:r w:rsidR="008B4161" w:rsidRPr="00DA663C">
        <w:rPr>
          <w:rFonts w:ascii="Calibri Light" w:hAnsi="Calibri Light" w:cs="Calibri Light"/>
          <w:b w:val="0"/>
          <w:bCs w:val="0"/>
          <w:sz w:val="22"/>
          <w:szCs w:val="22"/>
        </w:rPr>
        <w:t>SORY RECOMMENDATIONS</w:t>
      </w:r>
    </w:p>
    <w:p w14:paraId="47A35C90" w14:textId="1F1F4F50" w:rsidR="00D1210C" w:rsidRPr="00DA663C" w:rsidRDefault="00DA663C" w:rsidP="003C7168">
      <w:pPr>
        <w:spacing w:line="276" w:lineRule="auto"/>
        <w:ind w:firstLine="720"/>
        <w:jc w:val="both"/>
        <w:rPr>
          <w:rFonts w:ascii="Calibri Light" w:hAnsi="Calibri Light" w:cs="Calibri Light"/>
          <w:sz w:val="22"/>
          <w:szCs w:val="22"/>
        </w:rPr>
      </w:pPr>
      <w:r>
        <w:rPr>
          <w:rFonts w:ascii="Calibri Light" w:hAnsi="Calibri Light" w:cs="Calibri Light"/>
          <w:sz w:val="22"/>
          <w:szCs w:val="22"/>
        </w:rPr>
        <w:t xml:space="preserve">In sum, </w:t>
      </w:r>
      <w:r w:rsidR="00D1210C" w:rsidRPr="00DA663C">
        <w:rPr>
          <w:rFonts w:ascii="Calibri Light" w:hAnsi="Calibri Light" w:cs="Calibri Light"/>
          <w:sz w:val="22"/>
          <w:szCs w:val="22"/>
        </w:rPr>
        <w:t>New Zealand’s report to the CESCR must emphasis</w:t>
      </w:r>
      <w:r w:rsidR="00765025">
        <w:rPr>
          <w:rFonts w:ascii="Calibri Light" w:hAnsi="Calibri Light" w:cs="Calibri Light"/>
          <w:sz w:val="22"/>
          <w:szCs w:val="22"/>
        </w:rPr>
        <w:t xml:space="preserve">e </w:t>
      </w:r>
      <w:r w:rsidR="00D1210C" w:rsidRPr="00DA663C">
        <w:rPr>
          <w:rFonts w:ascii="Calibri Light" w:hAnsi="Calibri Light" w:cs="Calibri Light"/>
          <w:sz w:val="22"/>
          <w:szCs w:val="22"/>
        </w:rPr>
        <w:t xml:space="preserve">clearly that: </w:t>
      </w:r>
    </w:p>
    <w:p w14:paraId="270BEA18" w14:textId="305C264E" w:rsidR="008E7EDF" w:rsidRPr="00DA663C" w:rsidRDefault="005C3AFB" w:rsidP="003C7168">
      <w:pPr>
        <w:pStyle w:val="Heading1"/>
        <w:numPr>
          <w:ilvl w:val="0"/>
          <w:numId w:val="0"/>
        </w:numPr>
        <w:spacing w:line="276" w:lineRule="auto"/>
        <w:ind w:left="720"/>
        <w:rPr>
          <w:rFonts w:ascii="Calibri Light" w:hAnsi="Calibri Light" w:cs="Calibri Light"/>
          <w:sz w:val="22"/>
          <w:szCs w:val="22"/>
        </w:rPr>
      </w:pPr>
      <w:r w:rsidRPr="00DA663C">
        <w:rPr>
          <w:rFonts w:ascii="Calibri Light" w:hAnsi="Calibri Light" w:cs="Calibri Light"/>
          <w:sz w:val="22"/>
          <w:szCs w:val="22"/>
        </w:rPr>
        <w:t xml:space="preserve">Positive action is required from the Government of Aotearoa New Zealand to meet its obligations to uphold the ICESCR rights for all people in this country. The economic, social and cultural rights of Māori are particularly vulnerable. This vulnerability is significantly attributable to </w:t>
      </w:r>
      <w:r w:rsidR="008E7EDF" w:rsidRPr="00DA663C">
        <w:rPr>
          <w:rFonts w:ascii="Calibri Light" w:hAnsi="Calibri Light" w:cs="Calibri Light"/>
          <w:sz w:val="22"/>
          <w:szCs w:val="22"/>
        </w:rPr>
        <w:t xml:space="preserve">the ICESCR rights being largely unincorporated within Aotearoa New Zealand’s constitution. </w:t>
      </w:r>
    </w:p>
    <w:p w14:paraId="0DF0EF62" w14:textId="1F8E2D64" w:rsidR="006A0109" w:rsidRPr="00DA663C" w:rsidRDefault="00D1210C" w:rsidP="003C7168">
      <w:pPr>
        <w:pStyle w:val="Heading2"/>
        <w:numPr>
          <w:ilvl w:val="0"/>
          <w:numId w:val="0"/>
        </w:numPr>
        <w:spacing w:line="276" w:lineRule="auto"/>
        <w:ind w:left="720"/>
        <w:rPr>
          <w:rFonts w:ascii="Calibri Light" w:hAnsi="Calibri Light" w:cs="Calibri Light"/>
          <w:i w:val="0"/>
          <w:iCs w:val="0"/>
          <w:sz w:val="22"/>
          <w:szCs w:val="22"/>
        </w:rPr>
      </w:pPr>
      <w:r w:rsidRPr="00DA663C">
        <w:rPr>
          <w:rFonts w:ascii="Calibri Light" w:hAnsi="Calibri Light" w:cs="Calibri Light"/>
          <w:i w:val="0"/>
          <w:iCs w:val="0"/>
          <w:sz w:val="22"/>
          <w:szCs w:val="22"/>
        </w:rPr>
        <w:t>A</w:t>
      </w:r>
      <w:r w:rsidR="00364D55" w:rsidRPr="00DA663C">
        <w:rPr>
          <w:rFonts w:ascii="Calibri Light" w:hAnsi="Calibri Light" w:cs="Calibri Light"/>
          <w:i w:val="0"/>
          <w:iCs w:val="0"/>
          <w:sz w:val="22"/>
          <w:szCs w:val="22"/>
        </w:rPr>
        <w:t xml:space="preserve">long with better protection of </w:t>
      </w:r>
      <w:proofErr w:type="spellStart"/>
      <w:r w:rsidR="00364D55" w:rsidRPr="00DA663C">
        <w:rPr>
          <w:rFonts w:ascii="Calibri Light" w:hAnsi="Calibri Light" w:cs="Calibri Light"/>
          <w:i w:val="0"/>
          <w:iCs w:val="0"/>
          <w:sz w:val="22"/>
          <w:szCs w:val="22"/>
        </w:rPr>
        <w:t>te</w:t>
      </w:r>
      <w:proofErr w:type="spellEnd"/>
      <w:r w:rsidR="00364D55" w:rsidRPr="00DA663C">
        <w:rPr>
          <w:rFonts w:ascii="Calibri Light" w:hAnsi="Calibri Light" w:cs="Calibri Light"/>
          <w:i w:val="0"/>
          <w:iCs w:val="0"/>
          <w:sz w:val="22"/>
          <w:szCs w:val="22"/>
        </w:rPr>
        <w:t xml:space="preserve"> </w:t>
      </w:r>
      <w:proofErr w:type="spellStart"/>
      <w:r w:rsidR="00364D55" w:rsidRPr="00DA663C">
        <w:rPr>
          <w:rFonts w:ascii="Calibri Light" w:hAnsi="Calibri Light" w:cs="Calibri Light"/>
          <w:i w:val="0"/>
          <w:iCs w:val="0"/>
          <w:sz w:val="22"/>
          <w:szCs w:val="22"/>
        </w:rPr>
        <w:t>Tiriti</w:t>
      </w:r>
      <w:proofErr w:type="spellEnd"/>
      <w:r w:rsidR="00364D55" w:rsidRPr="00DA663C">
        <w:rPr>
          <w:rFonts w:ascii="Calibri Light" w:hAnsi="Calibri Light" w:cs="Calibri Light"/>
          <w:i w:val="0"/>
          <w:iCs w:val="0"/>
          <w:sz w:val="22"/>
          <w:szCs w:val="22"/>
        </w:rPr>
        <w:t xml:space="preserve">, that </w:t>
      </w:r>
      <w:r w:rsidR="00AC19ED" w:rsidRPr="00DA663C">
        <w:rPr>
          <w:rFonts w:ascii="Calibri Light" w:hAnsi="Calibri Light" w:cs="Calibri Light"/>
          <w:i w:val="0"/>
          <w:iCs w:val="0"/>
          <w:sz w:val="22"/>
          <w:szCs w:val="22"/>
        </w:rPr>
        <w:t xml:space="preserve">economic, social and cultural rights </w:t>
      </w:r>
      <w:r w:rsidRPr="00DA663C">
        <w:rPr>
          <w:rFonts w:ascii="Calibri Light" w:hAnsi="Calibri Light" w:cs="Calibri Light"/>
          <w:i w:val="0"/>
          <w:iCs w:val="0"/>
          <w:sz w:val="22"/>
          <w:szCs w:val="22"/>
        </w:rPr>
        <w:t xml:space="preserve">must </w:t>
      </w:r>
      <w:r w:rsidR="00AC19ED" w:rsidRPr="00DA663C">
        <w:rPr>
          <w:rFonts w:ascii="Calibri Light" w:hAnsi="Calibri Light" w:cs="Calibri Light"/>
          <w:i w:val="0"/>
          <w:iCs w:val="0"/>
          <w:sz w:val="22"/>
          <w:szCs w:val="22"/>
        </w:rPr>
        <w:t xml:space="preserve">be </w:t>
      </w:r>
      <w:r w:rsidR="005E3654" w:rsidRPr="00DA663C">
        <w:rPr>
          <w:rFonts w:ascii="Calibri Light" w:hAnsi="Calibri Light" w:cs="Calibri Light"/>
          <w:i w:val="0"/>
          <w:iCs w:val="0"/>
          <w:sz w:val="22"/>
          <w:szCs w:val="22"/>
        </w:rPr>
        <w:t xml:space="preserve">fully </w:t>
      </w:r>
      <w:r w:rsidR="00AC19ED" w:rsidRPr="00DA663C">
        <w:rPr>
          <w:rFonts w:ascii="Calibri Light" w:hAnsi="Calibri Light" w:cs="Calibri Light"/>
          <w:i w:val="0"/>
          <w:iCs w:val="0"/>
          <w:sz w:val="22"/>
          <w:szCs w:val="22"/>
        </w:rPr>
        <w:t>incorporated within Aotearoa New Zealand’s constitution</w:t>
      </w:r>
      <w:r w:rsidR="00475532" w:rsidRPr="00DA663C">
        <w:rPr>
          <w:rFonts w:ascii="Calibri Light" w:hAnsi="Calibri Light" w:cs="Calibri Light"/>
          <w:i w:val="0"/>
          <w:iCs w:val="0"/>
          <w:sz w:val="22"/>
          <w:szCs w:val="22"/>
        </w:rPr>
        <w:t xml:space="preserve">. These rights must be legally </w:t>
      </w:r>
      <w:r w:rsidR="00475532" w:rsidRPr="00DA663C">
        <w:rPr>
          <w:rFonts w:ascii="Calibri Light" w:hAnsi="Calibri Light" w:cs="Calibri Light"/>
          <w:i w:val="0"/>
          <w:iCs w:val="0"/>
          <w:sz w:val="22"/>
          <w:szCs w:val="22"/>
        </w:rPr>
        <w:lastRenderedPageBreak/>
        <w:t xml:space="preserve">enforceable for everyone in Aotearoa New Zealand, which requires constitutional </w:t>
      </w:r>
      <w:r w:rsidR="003C7168">
        <w:rPr>
          <w:rFonts w:ascii="Calibri Light" w:hAnsi="Calibri Light" w:cs="Calibri Light"/>
          <w:i w:val="0"/>
          <w:iCs w:val="0"/>
          <w:sz w:val="22"/>
          <w:szCs w:val="22"/>
        </w:rPr>
        <w:t>entrenchment.</w:t>
      </w:r>
    </w:p>
    <w:sectPr w:rsidR="006A0109" w:rsidRPr="00DA663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32F6" w14:textId="77777777" w:rsidR="006E3450" w:rsidRDefault="006E3450">
      <w:pPr>
        <w:spacing w:after="0" w:line="240" w:lineRule="auto"/>
      </w:pPr>
      <w:r>
        <w:separator/>
      </w:r>
    </w:p>
  </w:endnote>
  <w:endnote w:type="continuationSeparator" w:id="0">
    <w:p w14:paraId="267D7AD0" w14:textId="77777777" w:rsidR="006E3450" w:rsidRDefault="006E3450">
      <w:pPr>
        <w:spacing w:after="0" w:line="240" w:lineRule="auto"/>
      </w:pPr>
      <w:r>
        <w:continuationSeparator/>
      </w:r>
    </w:p>
  </w:endnote>
  <w:endnote w:type="continuationNotice" w:id="1">
    <w:p w14:paraId="5F97F3D4" w14:textId="77777777" w:rsidR="006E3450" w:rsidRDefault="006E3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912677"/>
      <w:docPartObj>
        <w:docPartGallery w:val="Page Numbers (Bottom of Page)"/>
        <w:docPartUnique/>
      </w:docPartObj>
    </w:sdtPr>
    <w:sdtContent>
      <w:p w14:paraId="53F93035" w14:textId="3F583392" w:rsidR="00362C34" w:rsidRDefault="00362C34" w:rsidP="00A7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6BDBA" w14:textId="77777777" w:rsidR="00362C34" w:rsidRDefault="00362C34" w:rsidP="00362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8439244"/>
      <w:docPartObj>
        <w:docPartGallery w:val="Page Numbers (Bottom of Page)"/>
        <w:docPartUnique/>
      </w:docPartObj>
    </w:sdtPr>
    <w:sdtContent>
      <w:p w14:paraId="5A48C11E" w14:textId="797D14F8" w:rsidR="00362C34" w:rsidRDefault="00362C34" w:rsidP="00A7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6050976" w14:textId="77777777" w:rsidR="00362C34" w:rsidRDefault="00362C34" w:rsidP="00362C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3950" w14:textId="77777777" w:rsidR="006E3450" w:rsidRDefault="006E3450">
      <w:pPr>
        <w:spacing w:after="0" w:line="240" w:lineRule="auto"/>
      </w:pPr>
      <w:r>
        <w:separator/>
      </w:r>
    </w:p>
  </w:footnote>
  <w:footnote w:type="continuationSeparator" w:id="0">
    <w:p w14:paraId="3284F2AC" w14:textId="77777777" w:rsidR="006E3450" w:rsidRDefault="006E3450">
      <w:pPr>
        <w:spacing w:after="0" w:line="240" w:lineRule="auto"/>
      </w:pPr>
      <w:r>
        <w:continuationSeparator/>
      </w:r>
    </w:p>
  </w:footnote>
  <w:footnote w:type="continuationNotice" w:id="1">
    <w:p w14:paraId="12B1068B" w14:textId="77777777" w:rsidR="006E3450" w:rsidRDefault="006E3450">
      <w:pPr>
        <w:spacing w:after="0" w:line="240" w:lineRule="auto"/>
      </w:pPr>
    </w:p>
  </w:footnote>
  <w:footnote w:id="2">
    <w:p w14:paraId="46FBB0FB" w14:textId="27914ABC" w:rsidR="00C000DB" w:rsidRPr="00DA663C" w:rsidRDefault="00C000DB">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Tāngata whenua refers to Māori as the Indigenous people of Aotearoa New Zealand.</w:t>
      </w:r>
    </w:p>
  </w:footnote>
  <w:footnote w:id="3">
    <w:p w14:paraId="2B8BBC73" w14:textId="191A9E41" w:rsidR="007527D7" w:rsidRPr="00DA663C" w:rsidRDefault="007527D7">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Art 2.</w:t>
      </w:r>
    </w:p>
  </w:footnote>
  <w:footnote w:id="4">
    <w:p w14:paraId="1D4F5D00" w14:textId="77777777" w:rsidR="00913653" w:rsidRPr="00DA663C" w:rsidRDefault="00913653" w:rsidP="00913653">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 xml:space="preserve">at </w:t>
      </w:r>
      <w:r w:rsidRPr="00DA663C">
        <w:rPr>
          <w:rFonts w:ascii="Calibri Light" w:hAnsi="Calibri Light" w:cs="Calibri Light"/>
        </w:rPr>
        <w:t>[43].</w:t>
      </w:r>
    </w:p>
  </w:footnote>
  <w:footnote w:id="5">
    <w:p w14:paraId="74ACC3DE" w14:textId="77777777" w:rsidR="005262F0" w:rsidRPr="00DA663C" w:rsidRDefault="005262F0" w:rsidP="005262F0">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[45].</w:t>
      </w:r>
    </w:p>
  </w:footnote>
  <w:footnote w:id="6">
    <w:p w14:paraId="7FE6C75B" w14:textId="77777777" w:rsidR="00913653" w:rsidRPr="00DA663C" w:rsidRDefault="00913653" w:rsidP="00913653">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[46].</w:t>
      </w:r>
    </w:p>
  </w:footnote>
  <w:footnote w:id="7">
    <w:p w14:paraId="60864E04" w14:textId="77777777" w:rsidR="006647E7" w:rsidRPr="00DA663C" w:rsidRDefault="006647E7" w:rsidP="006647E7">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Committee on Economic, Social and Cultural Rights Concluding observations on the fourth periodic report of New Zealand UN Doc E/C.12/NZL/CO/4 (1 May 2018) at [8].</w:t>
      </w:r>
    </w:p>
  </w:footnote>
  <w:footnote w:id="8">
    <w:p w14:paraId="0146DC58" w14:textId="77777777" w:rsidR="00362C34" w:rsidRPr="00DA663C" w:rsidRDefault="00362C34" w:rsidP="00362C34">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New Zealand Bill of Rights (Declarations of Inconsistency) Amendment Act 2022.</w:t>
      </w:r>
    </w:p>
  </w:footnote>
  <w:footnote w:id="9">
    <w:p w14:paraId="09A9B7E0" w14:textId="71F5B37D" w:rsidR="00566D0E" w:rsidRPr="00DA663C" w:rsidRDefault="00566D0E">
      <w:pPr>
        <w:pStyle w:val="FootnoteText"/>
        <w:rPr>
          <w:rFonts w:ascii="Calibri Light" w:hAnsi="Calibri Light" w:cs="Calibri Light"/>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w:t>
      </w:r>
      <w:r w:rsidR="000843B8" w:rsidRPr="00DA663C">
        <w:rPr>
          <w:rFonts w:ascii="Calibri Light" w:hAnsi="Calibri Light" w:cs="Calibri Light"/>
          <w:lang w:val="mi-NZ"/>
        </w:rPr>
        <w:t>6</w:t>
      </w:r>
      <w:r w:rsidRPr="00DA663C">
        <w:rPr>
          <w:rFonts w:ascii="Calibri Light" w:hAnsi="Calibri Light" w:cs="Calibri Light"/>
          <w:lang w:val="mi-NZ"/>
        </w:rPr>
        <w:t>].</w:t>
      </w:r>
    </w:p>
  </w:footnote>
  <w:footnote w:id="10">
    <w:p w14:paraId="048F2F5E" w14:textId="77777777" w:rsidR="00BD0CAC" w:rsidRPr="00DA663C" w:rsidRDefault="00BD0CAC" w:rsidP="00BD0CAC">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See 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 xml:space="preserve">at </w:t>
      </w:r>
      <w:r w:rsidRPr="00DA663C">
        <w:rPr>
          <w:rFonts w:ascii="Calibri Light" w:hAnsi="Calibri Light" w:cs="Calibri Light"/>
        </w:rPr>
        <w:t>[11].</w:t>
      </w:r>
    </w:p>
  </w:footnote>
  <w:footnote w:id="11">
    <w:p w14:paraId="7E26A3C6" w14:textId="6B234BC3" w:rsidR="00061051" w:rsidRPr="00DA663C" w:rsidRDefault="00061051">
      <w:pPr>
        <w:pStyle w:val="FootnoteText"/>
        <w:rPr>
          <w:rFonts w:ascii="Calibri Light" w:hAnsi="Calibri Light" w:cs="Calibri Light"/>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w:t>
      </w:r>
      <w:r w:rsidR="00911D84" w:rsidRPr="00DA663C">
        <w:rPr>
          <w:rFonts w:ascii="Calibri Light" w:hAnsi="Calibri Light" w:cs="Calibri Light"/>
          <w:lang w:val="mi-NZ"/>
        </w:rPr>
        <w:t>14</w:t>
      </w:r>
      <w:r w:rsidRPr="00DA663C">
        <w:rPr>
          <w:rFonts w:ascii="Calibri Light" w:hAnsi="Calibri Light" w:cs="Calibri Light"/>
          <w:lang w:val="mi-NZ"/>
        </w:rPr>
        <w:t>].</w:t>
      </w:r>
    </w:p>
  </w:footnote>
  <w:footnote w:id="12">
    <w:p w14:paraId="090472DA" w14:textId="77777777" w:rsidR="00E6112E" w:rsidRPr="00DA663C" w:rsidRDefault="00E6112E" w:rsidP="00E6112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Christof Heyns and Danie Brand “Introduction to socio-economic rights in the South African Constitution” Law, Democracy and Development 153 at 155-156.</w:t>
      </w:r>
    </w:p>
  </w:footnote>
  <w:footnote w:id="13">
    <w:p w14:paraId="0AB6C989" w14:textId="77777777" w:rsidR="00E6112E" w:rsidRPr="00DA663C" w:rsidRDefault="00E6112E" w:rsidP="00E6112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South African Constitution, s 184(3).</w:t>
      </w:r>
    </w:p>
  </w:footnote>
  <w:footnote w:id="14">
    <w:p w14:paraId="215E4EAC" w14:textId="77777777" w:rsidR="00E6112E" w:rsidRPr="00DA663C" w:rsidRDefault="00E6112E" w:rsidP="00E6112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Christof Heyns and Danie Brand “Introduction to socio-economic rights in the South African Constitution” Law, Democracy and Development 153 at 166.</w:t>
      </w:r>
    </w:p>
  </w:footnote>
  <w:footnote w:id="15">
    <w:p w14:paraId="199493B4" w14:textId="77777777" w:rsidR="00FD6080" w:rsidRPr="00DA663C" w:rsidRDefault="00FD6080" w:rsidP="00FD6080">
      <w:pPr>
        <w:pStyle w:val="FootnoteText"/>
        <w:rPr>
          <w:rFonts w:ascii="Calibri Light" w:hAnsi="Calibri Light" w:cs="Calibri Light"/>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Art 1.</w:t>
      </w:r>
    </w:p>
  </w:footnote>
  <w:footnote w:id="16">
    <w:p w14:paraId="262B1B30" w14:textId="61B9F320" w:rsidR="00E26B6D" w:rsidRPr="00DA663C" w:rsidRDefault="00E26B6D">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[50]-[51].</w:t>
      </w:r>
    </w:p>
  </w:footnote>
  <w:footnote w:id="17">
    <w:p w14:paraId="40498CC4" w14:textId="5B77F4C0" w:rsidR="008A2FFE" w:rsidRPr="00DA663C" w:rsidRDefault="008A2FF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[52].</w:t>
      </w:r>
    </w:p>
  </w:footnote>
  <w:footnote w:id="18">
    <w:p w14:paraId="16C1C890" w14:textId="7065B766" w:rsidR="0021583D" w:rsidRPr="00DA663C" w:rsidRDefault="0021583D">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[63].</w:t>
      </w:r>
    </w:p>
  </w:footnote>
  <w:footnote w:id="19">
    <w:p w14:paraId="67FC1C08" w14:textId="77777777" w:rsidR="007C6D25" w:rsidRPr="00DA663C" w:rsidRDefault="007C6D25" w:rsidP="007C6D25">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Art 7(a).</w:t>
      </w:r>
    </w:p>
  </w:footnote>
  <w:footnote w:id="20">
    <w:p w14:paraId="3BADBEDA" w14:textId="34A6046A" w:rsidR="009104D7" w:rsidRPr="00DA663C" w:rsidRDefault="009104D7">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proofErr w:type="spellStart"/>
      <w:r w:rsidR="007A097A" w:rsidRPr="00DA663C">
        <w:rPr>
          <w:rFonts w:ascii="Calibri Light" w:hAnsi="Calibri Light" w:cs="Calibri Light"/>
        </w:rPr>
        <w:t>Manatū</w:t>
      </w:r>
      <w:proofErr w:type="spellEnd"/>
      <w:r w:rsidR="007A097A" w:rsidRPr="00DA663C">
        <w:rPr>
          <w:rFonts w:ascii="Calibri Light" w:hAnsi="Calibri Light" w:cs="Calibri Light"/>
        </w:rPr>
        <w:t xml:space="preserve"> </w:t>
      </w:r>
      <w:proofErr w:type="spellStart"/>
      <w:r w:rsidR="007A097A" w:rsidRPr="00DA663C">
        <w:rPr>
          <w:rFonts w:ascii="Calibri Light" w:hAnsi="Calibri Light" w:cs="Calibri Light"/>
        </w:rPr>
        <w:t>Wāhine</w:t>
      </w:r>
      <w:proofErr w:type="spellEnd"/>
      <w:r w:rsidR="007A097A" w:rsidRPr="00DA663C">
        <w:rPr>
          <w:rFonts w:ascii="Calibri Light" w:hAnsi="Calibri Light" w:cs="Calibri Light"/>
        </w:rPr>
        <w:t xml:space="preserve"> | Ministry for Women</w:t>
      </w:r>
      <w:r w:rsidR="00DF23BD" w:rsidRPr="00DA663C">
        <w:rPr>
          <w:rFonts w:ascii="Calibri Light" w:hAnsi="Calibri Light" w:cs="Calibri Light"/>
        </w:rPr>
        <w:t xml:space="preserve"> “Report: </w:t>
      </w:r>
      <w:proofErr w:type="spellStart"/>
      <w:r w:rsidR="00DF23BD" w:rsidRPr="00DA663C">
        <w:rPr>
          <w:rFonts w:ascii="Calibri Light" w:hAnsi="Calibri Light" w:cs="Calibri Light"/>
        </w:rPr>
        <w:t>Wāhine</w:t>
      </w:r>
      <w:proofErr w:type="spellEnd"/>
      <w:r w:rsidR="00DF23BD" w:rsidRPr="00DA663C">
        <w:rPr>
          <w:rFonts w:ascii="Calibri Light" w:hAnsi="Calibri Light" w:cs="Calibri Light"/>
        </w:rPr>
        <w:t xml:space="preserve"> Māori and the Gender Pay Gap”</w:t>
      </w:r>
      <w:r w:rsidR="007A097A" w:rsidRPr="00DA663C">
        <w:rPr>
          <w:rFonts w:ascii="Calibri Light" w:hAnsi="Calibri Light" w:cs="Calibri Light"/>
        </w:rPr>
        <w:t xml:space="preserve"> </w:t>
      </w:r>
      <w:r w:rsidR="00AF0DE8" w:rsidRPr="00DA663C">
        <w:rPr>
          <w:rFonts w:ascii="Calibri Light" w:hAnsi="Calibri Light" w:cs="Calibri Light"/>
        </w:rPr>
        <w:t>&lt;www.women.govt.nz/gender-pay-gaps/new-zealands-gender-pay-gap/ethnicity/report-wahine-maori-and-gender-pay-gap&gt;.</w:t>
      </w:r>
    </w:p>
  </w:footnote>
  <w:footnote w:id="21">
    <w:p w14:paraId="4DCC3B71" w14:textId="77777777" w:rsidR="007C6D25" w:rsidRPr="00DA663C" w:rsidRDefault="007C6D25" w:rsidP="007C6D25">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Art 7(a)(</w:t>
      </w:r>
      <w:proofErr w:type="spellStart"/>
      <w:r w:rsidRPr="00DA663C">
        <w:rPr>
          <w:rFonts w:ascii="Calibri Light" w:hAnsi="Calibri Light" w:cs="Calibri Light"/>
        </w:rPr>
        <w:t>i</w:t>
      </w:r>
      <w:proofErr w:type="spellEnd"/>
      <w:r w:rsidRPr="00DA663C">
        <w:rPr>
          <w:rFonts w:ascii="Calibri Light" w:hAnsi="Calibri Light" w:cs="Calibri Light"/>
        </w:rPr>
        <w:t>).</w:t>
      </w:r>
    </w:p>
  </w:footnote>
  <w:footnote w:id="22">
    <w:p w14:paraId="731F4432" w14:textId="0362E30D" w:rsidR="00C331CC" w:rsidRPr="00DA663C" w:rsidRDefault="00C331CC">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[91].</w:t>
      </w:r>
    </w:p>
  </w:footnote>
  <w:footnote w:id="23">
    <w:p w14:paraId="2F114467" w14:textId="77777777" w:rsidR="007C6D25" w:rsidRPr="00DA663C" w:rsidRDefault="007C6D25" w:rsidP="007C6D25">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Living Wage Aotearoa New Zealand “About Us” &lt;www.livingwage.org.nz/about&gt;.</w:t>
      </w:r>
    </w:p>
  </w:footnote>
  <w:footnote w:id="24">
    <w:p w14:paraId="5FAA89CB" w14:textId="1DE72FA8" w:rsidR="00084FE2" w:rsidRPr="00DA663C" w:rsidRDefault="00084FE2">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00B9647C" w:rsidRPr="00DA663C">
        <w:rPr>
          <w:rFonts w:ascii="Calibri Light" w:hAnsi="Calibri Light" w:cs="Calibri Light"/>
        </w:rPr>
        <w:t xml:space="preserve">Ministry of Health </w:t>
      </w:r>
      <w:r w:rsidR="005C4EED" w:rsidRPr="00DA663C">
        <w:rPr>
          <w:rFonts w:ascii="Calibri Light" w:hAnsi="Calibri Light" w:cs="Calibri Light"/>
          <w:lang w:val="mi-NZ"/>
        </w:rPr>
        <w:t>Tatau Kahukura: Māori Health Chart Book 2024 (</w:t>
      </w:r>
      <w:r w:rsidR="00B9647C" w:rsidRPr="00DA663C">
        <w:rPr>
          <w:rFonts w:ascii="Calibri Light" w:hAnsi="Calibri Light" w:cs="Calibri Light"/>
          <w:lang w:val="mi-NZ"/>
        </w:rPr>
        <w:t>4th ed, Te Kāwanatanga o Aotearoa | New Zealand Government</w:t>
      </w:r>
      <w:r w:rsidR="00EF7735" w:rsidRPr="00DA663C">
        <w:rPr>
          <w:rFonts w:ascii="Calibri Light" w:hAnsi="Calibri Light" w:cs="Calibri Light"/>
          <w:lang w:val="mi-NZ"/>
        </w:rPr>
        <w:t>, Wellington, 2024</w:t>
      </w:r>
      <w:r w:rsidR="005C4EED" w:rsidRPr="00DA663C">
        <w:rPr>
          <w:rFonts w:ascii="Calibri Light" w:hAnsi="Calibri Light" w:cs="Calibri Light"/>
          <w:lang w:val="mi-NZ"/>
        </w:rPr>
        <w:t>)</w:t>
      </w:r>
      <w:r w:rsidR="00EF7735" w:rsidRPr="00DA663C">
        <w:rPr>
          <w:rFonts w:ascii="Calibri Light" w:hAnsi="Calibri Light" w:cs="Calibri Light"/>
          <w:lang w:val="mi-NZ"/>
        </w:rPr>
        <w:t xml:space="preserve"> at</w:t>
      </w:r>
      <w:r w:rsidR="00527131" w:rsidRPr="00DA663C">
        <w:rPr>
          <w:rFonts w:ascii="Calibri Light" w:hAnsi="Calibri Light" w:cs="Calibri Light"/>
          <w:lang w:val="mi-NZ"/>
        </w:rPr>
        <w:t xml:space="preserve"> 27</w:t>
      </w:r>
      <w:r w:rsidR="00EF7735" w:rsidRPr="00DA663C">
        <w:rPr>
          <w:rFonts w:ascii="Calibri Light" w:hAnsi="Calibri Light" w:cs="Calibri Light"/>
          <w:lang w:val="mi-NZ"/>
        </w:rPr>
        <w:t>.</w:t>
      </w:r>
    </w:p>
  </w:footnote>
  <w:footnote w:id="25">
    <w:p w14:paraId="6A54B2A5" w14:textId="77777777" w:rsidR="0020251E" w:rsidRPr="00DA663C" w:rsidRDefault="0020251E" w:rsidP="0020251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Art 12(1).</w:t>
      </w:r>
    </w:p>
  </w:footnote>
  <w:footnote w:id="26">
    <w:p w14:paraId="4E5663EB" w14:textId="77777777" w:rsidR="0020251E" w:rsidRPr="00DA663C" w:rsidRDefault="0020251E" w:rsidP="0020251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Art 2(2).</w:t>
      </w:r>
    </w:p>
  </w:footnote>
  <w:footnote w:id="27">
    <w:p w14:paraId="6D367D19" w14:textId="7D54F80E" w:rsidR="00EE78FE" w:rsidRPr="00DA663C" w:rsidRDefault="00EE78F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[233]-[234].</w:t>
      </w:r>
    </w:p>
  </w:footnote>
  <w:footnote w:id="28">
    <w:p w14:paraId="1D545186" w14:textId="60FD6379" w:rsidR="0095334E" w:rsidRPr="00DA663C" w:rsidRDefault="0095334E">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Pr="00DA663C">
        <w:rPr>
          <w:rFonts w:ascii="Calibri Light" w:hAnsi="Calibri Light" w:cs="Calibri Light"/>
          <w:lang w:val="mi-NZ"/>
        </w:rPr>
        <w:t>at [</w:t>
      </w:r>
      <w:r w:rsidR="00533FBF" w:rsidRPr="00DA663C">
        <w:rPr>
          <w:rFonts w:ascii="Calibri Light" w:hAnsi="Calibri Light" w:cs="Calibri Light"/>
          <w:lang w:val="mi-NZ"/>
        </w:rPr>
        <w:t>234].</w:t>
      </w:r>
    </w:p>
  </w:footnote>
  <w:footnote w:id="29">
    <w:p w14:paraId="578AE1DC" w14:textId="3C025802" w:rsidR="006F5252" w:rsidRPr="00DA663C" w:rsidRDefault="006F5252">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 xml:space="preserve">The Māori </w:t>
      </w:r>
      <w:r w:rsidR="007B3CFC" w:rsidRPr="00DA663C">
        <w:rPr>
          <w:rFonts w:ascii="Calibri Light" w:hAnsi="Calibri Light" w:cs="Calibri Light"/>
          <w:lang w:val="mi-NZ"/>
        </w:rPr>
        <w:t>Health Authority</w:t>
      </w:r>
      <w:r w:rsidR="00D0027F" w:rsidRPr="00DA663C">
        <w:rPr>
          <w:rFonts w:ascii="Calibri Light" w:hAnsi="Calibri Light" w:cs="Calibri Light"/>
          <w:lang w:val="mi-NZ"/>
        </w:rPr>
        <w:t xml:space="preserve"> was </w:t>
      </w:r>
      <w:r w:rsidR="007B3CFC" w:rsidRPr="00DA663C">
        <w:rPr>
          <w:rFonts w:ascii="Calibri Light" w:hAnsi="Calibri Light" w:cs="Calibri Light"/>
          <w:lang w:val="mi-NZ"/>
        </w:rPr>
        <w:t xml:space="preserve">created </w:t>
      </w:r>
      <w:r w:rsidR="00FD6440" w:rsidRPr="00DA663C">
        <w:rPr>
          <w:rFonts w:ascii="Calibri Light" w:hAnsi="Calibri Light" w:cs="Calibri Light"/>
          <w:lang w:val="mi-NZ"/>
        </w:rPr>
        <w:t>in 202</w:t>
      </w:r>
      <w:r w:rsidR="00B7329B" w:rsidRPr="00DA663C">
        <w:rPr>
          <w:rFonts w:ascii="Calibri Light" w:hAnsi="Calibri Light" w:cs="Calibri Light"/>
          <w:lang w:val="mi-NZ"/>
        </w:rPr>
        <w:t>2</w:t>
      </w:r>
      <w:r w:rsidR="00FD6440" w:rsidRPr="00DA663C">
        <w:rPr>
          <w:rFonts w:ascii="Calibri Light" w:hAnsi="Calibri Light" w:cs="Calibri Light"/>
          <w:lang w:val="mi-NZ"/>
        </w:rPr>
        <w:t xml:space="preserve"> </w:t>
      </w:r>
      <w:r w:rsidR="00D0027F" w:rsidRPr="00DA663C">
        <w:rPr>
          <w:rFonts w:ascii="Calibri Light" w:hAnsi="Calibri Light" w:cs="Calibri Light"/>
          <w:lang w:val="mi-NZ"/>
        </w:rPr>
        <w:t xml:space="preserve">as an </w:t>
      </w:r>
      <w:r w:rsidR="00137E12" w:rsidRPr="00DA663C">
        <w:rPr>
          <w:rFonts w:ascii="Calibri Light" w:hAnsi="Calibri Light" w:cs="Calibri Light"/>
          <w:lang w:val="mi-NZ"/>
        </w:rPr>
        <w:t>additional body to oversee</w:t>
      </w:r>
      <w:r w:rsidR="00D0027F" w:rsidRPr="00DA663C">
        <w:rPr>
          <w:rFonts w:ascii="Calibri Light" w:hAnsi="Calibri Light" w:cs="Calibri Light"/>
          <w:lang w:val="mi-NZ"/>
        </w:rPr>
        <w:t xml:space="preserve"> health </w:t>
      </w:r>
      <w:r w:rsidR="00137E12" w:rsidRPr="00DA663C">
        <w:rPr>
          <w:rFonts w:ascii="Calibri Light" w:hAnsi="Calibri Light" w:cs="Calibri Light"/>
          <w:lang w:val="mi-NZ"/>
        </w:rPr>
        <w:t>systems</w:t>
      </w:r>
      <w:r w:rsidR="00E12CA5" w:rsidRPr="00DA663C">
        <w:rPr>
          <w:rFonts w:ascii="Calibri Light" w:hAnsi="Calibri Light" w:cs="Calibri Light"/>
          <w:lang w:val="mi-NZ"/>
        </w:rPr>
        <w:t>, with a particular focus on</w:t>
      </w:r>
      <w:r w:rsidR="00137E12" w:rsidRPr="00DA663C">
        <w:rPr>
          <w:rFonts w:ascii="Calibri Light" w:hAnsi="Calibri Light" w:cs="Calibri Light"/>
          <w:lang w:val="mi-NZ"/>
        </w:rPr>
        <w:t xml:space="preserve"> </w:t>
      </w:r>
      <w:r w:rsidR="00FD6440" w:rsidRPr="00DA663C">
        <w:rPr>
          <w:rFonts w:ascii="Calibri Light" w:hAnsi="Calibri Light" w:cs="Calibri Light"/>
          <w:lang w:val="mi-NZ"/>
        </w:rPr>
        <w:t>a kaupapa Māori framework to respond to disparities in Māori health outcomes while upholding tino rangatiratanga.</w:t>
      </w:r>
    </w:p>
  </w:footnote>
  <w:footnote w:id="30">
    <w:p w14:paraId="4A92D4DD" w14:textId="2DFDF3D9" w:rsidR="004079A7" w:rsidRPr="00DA663C" w:rsidRDefault="004079A7">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Art 12(2)(d).</w:t>
      </w:r>
    </w:p>
  </w:footnote>
  <w:footnote w:id="31">
    <w:p w14:paraId="0A565BD8" w14:textId="4173DC70" w:rsidR="00025108" w:rsidRPr="00DA663C" w:rsidRDefault="00025108">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(27 Feb 2024)</w:t>
      </w:r>
      <w:r w:rsidR="00295758" w:rsidRPr="00DA663C">
        <w:rPr>
          <w:rFonts w:ascii="Calibri Light" w:hAnsi="Calibri Light" w:cs="Calibri Light"/>
        </w:rPr>
        <w:t xml:space="preserve"> 773 </w:t>
      </w:r>
      <w:r w:rsidR="00D67980" w:rsidRPr="00DA663C">
        <w:rPr>
          <w:rFonts w:ascii="Calibri Light" w:hAnsi="Calibri Light" w:cs="Calibri Light"/>
        </w:rPr>
        <w:t xml:space="preserve">NZPD </w:t>
      </w:r>
      <w:r w:rsidR="00D65727" w:rsidRPr="00DA663C">
        <w:rPr>
          <w:rFonts w:ascii="Calibri Light" w:hAnsi="Calibri Light" w:cs="Calibri Light"/>
        </w:rPr>
        <w:t>1532</w:t>
      </w:r>
      <w:r w:rsidR="002D4592" w:rsidRPr="00DA663C">
        <w:rPr>
          <w:rFonts w:ascii="Calibri Light" w:hAnsi="Calibri Light" w:cs="Calibri Light"/>
        </w:rPr>
        <w:t>.</w:t>
      </w:r>
    </w:p>
  </w:footnote>
  <w:footnote w:id="32">
    <w:p w14:paraId="23FE81DC" w14:textId="4A42CC9E" w:rsidR="00BF185F" w:rsidRPr="00DA663C" w:rsidRDefault="00BF185F">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 permanent commission of inquiry into the Crown’s breaches of its obligations under te Tiriti. The Tribunal’s recommendations are generally not binding on the Government.</w:t>
      </w:r>
    </w:p>
  </w:footnote>
  <w:footnote w:id="33">
    <w:p w14:paraId="4072F888" w14:textId="750CEBB6" w:rsidR="00B41720" w:rsidRPr="00DA663C" w:rsidRDefault="00B41720">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 xml:space="preserve">Waitangi Tribunal </w:t>
      </w:r>
      <w:r w:rsidR="001B67DA" w:rsidRPr="00DA663C">
        <w:rPr>
          <w:rFonts w:ascii="Calibri Light" w:hAnsi="Calibri Light" w:cs="Calibri Light"/>
          <w:lang w:val="mi-NZ"/>
        </w:rPr>
        <w:t>The Napier Hospital and Health Services Report (Wai 692, 2001)</w:t>
      </w:r>
      <w:r w:rsidR="00F12BBB" w:rsidRPr="00DA663C">
        <w:rPr>
          <w:rFonts w:ascii="Calibri Light" w:hAnsi="Calibri Light" w:cs="Calibri Light"/>
          <w:lang w:val="mi-NZ"/>
        </w:rPr>
        <w:t xml:space="preserve">; </w:t>
      </w:r>
      <w:r w:rsidR="005C2F7C" w:rsidRPr="00DA663C">
        <w:rPr>
          <w:rFonts w:ascii="Calibri Light" w:hAnsi="Calibri Light" w:cs="Calibri Light"/>
          <w:lang w:val="mi-NZ"/>
        </w:rPr>
        <w:t>Waitangi Tribunal</w:t>
      </w:r>
      <w:r w:rsidR="00EB795E" w:rsidRPr="00DA663C">
        <w:rPr>
          <w:rFonts w:ascii="Calibri Light" w:hAnsi="Calibri Light" w:cs="Calibri Light"/>
          <w:lang w:val="mi-NZ"/>
        </w:rPr>
        <w:t xml:space="preserve"> Hauora: Report on Stage One of the Health Services and Outcomes Kaupapa Inquiry (Wai 2575, 2019); </w:t>
      </w:r>
      <w:r w:rsidR="00F12BBB" w:rsidRPr="00DA663C">
        <w:rPr>
          <w:rFonts w:ascii="Calibri Light" w:hAnsi="Calibri Light" w:cs="Calibri Light"/>
          <w:lang w:val="mi-NZ"/>
        </w:rPr>
        <w:t>Waitangi Tribunal</w:t>
      </w:r>
      <w:r w:rsidR="0041311F" w:rsidRPr="00DA663C">
        <w:rPr>
          <w:rFonts w:ascii="Calibri Light" w:hAnsi="Calibri Light" w:cs="Calibri Light"/>
          <w:lang w:val="mi-NZ"/>
        </w:rPr>
        <w:t xml:space="preserve"> Haumaru: The COVID-19 Priority Report (Wai </w:t>
      </w:r>
      <w:r w:rsidR="0027603C" w:rsidRPr="00DA663C">
        <w:rPr>
          <w:rFonts w:ascii="Calibri Light" w:hAnsi="Calibri Light" w:cs="Calibri Light"/>
          <w:lang w:val="mi-NZ"/>
        </w:rPr>
        <w:t>2575, 2023); Waitangi Tribunal</w:t>
      </w:r>
      <w:r w:rsidR="005C2F7C" w:rsidRPr="00DA663C">
        <w:rPr>
          <w:rFonts w:ascii="Calibri Light" w:hAnsi="Calibri Light" w:cs="Calibri Light"/>
          <w:lang w:val="mi-NZ"/>
        </w:rPr>
        <w:t xml:space="preserve"> </w:t>
      </w:r>
      <w:r w:rsidR="00890439" w:rsidRPr="00DA663C">
        <w:rPr>
          <w:rFonts w:ascii="Calibri Light" w:hAnsi="Calibri Light" w:cs="Calibri Light"/>
          <w:lang w:val="mi-NZ"/>
        </w:rPr>
        <w:t xml:space="preserve">Hautupua: Te Aka Whai Ora (Maaori Health Authority) Priority Report, Part 1 </w:t>
      </w:r>
      <w:r w:rsidR="005C2F7C" w:rsidRPr="00DA663C">
        <w:rPr>
          <w:rFonts w:ascii="Calibri Light" w:hAnsi="Calibri Light" w:cs="Calibri Light"/>
          <w:lang w:val="mi-NZ"/>
        </w:rPr>
        <w:t>(</w:t>
      </w:r>
      <w:r w:rsidR="00890439" w:rsidRPr="00DA663C">
        <w:rPr>
          <w:rFonts w:ascii="Calibri Light" w:hAnsi="Calibri Light" w:cs="Calibri Light"/>
          <w:lang w:val="mi-NZ"/>
        </w:rPr>
        <w:t>Wai 2575, 2024</w:t>
      </w:r>
      <w:r w:rsidR="005C2F7C" w:rsidRPr="00DA663C">
        <w:rPr>
          <w:rFonts w:ascii="Calibri Light" w:hAnsi="Calibri Light" w:cs="Calibri Light"/>
          <w:lang w:val="mi-NZ"/>
        </w:rPr>
        <w:t>)</w:t>
      </w:r>
      <w:r w:rsidR="00890439" w:rsidRPr="00DA663C">
        <w:rPr>
          <w:rFonts w:ascii="Calibri Light" w:hAnsi="Calibri Light" w:cs="Calibri Light"/>
          <w:lang w:val="mi-NZ"/>
        </w:rPr>
        <w:t>.</w:t>
      </w:r>
      <w:r w:rsidR="00E16762" w:rsidRPr="00DA663C">
        <w:rPr>
          <w:rFonts w:ascii="Calibri Light" w:hAnsi="Calibri Light" w:cs="Calibri Light"/>
          <w:lang w:val="mi-NZ"/>
        </w:rPr>
        <w:t xml:space="preserve"> </w:t>
      </w:r>
    </w:p>
  </w:footnote>
  <w:footnote w:id="34">
    <w:p w14:paraId="02B6F311" w14:textId="603AE367" w:rsidR="004609F1" w:rsidRPr="00DA663C" w:rsidRDefault="004609F1">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lang w:val="mi-NZ"/>
        </w:rPr>
        <w:t>Art 11(1).</w:t>
      </w:r>
    </w:p>
  </w:footnote>
  <w:footnote w:id="35">
    <w:p w14:paraId="5251C795" w14:textId="60FBF593" w:rsidR="00523342" w:rsidRPr="00DA663C" w:rsidRDefault="00523342" w:rsidP="00FE78D6">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Pr="00DA663C">
        <w:rPr>
          <w:rFonts w:ascii="Calibri Light" w:hAnsi="Calibri Light" w:cs="Calibri Light"/>
        </w:rPr>
        <w:t>Wai</w:t>
      </w:r>
      <w:r w:rsidR="00FE78D6" w:rsidRPr="00DA663C">
        <w:rPr>
          <w:rFonts w:ascii="Calibri Light" w:hAnsi="Calibri Light" w:cs="Calibri Light"/>
        </w:rPr>
        <w:t xml:space="preserve">tangi Tribunal </w:t>
      </w:r>
      <w:proofErr w:type="spellStart"/>
      <w:r w:rsidR="00FE78D6" w:rsidRPr="00DA663C">
        <w:rPr>
          <w:rFonts w:ascii="Calibri Light" w:hAnsi="Calibri Light" w:cs="Calibri Light"/>
        </w:rPr>
        <w:t>Kāinga</w:t>
      </w:r>
      <w:proofErr w:type="spellEnd"/>
      <w:r w:rsidR="00FE78D6" w:rsidRPr="00DA663C">
        <w:rPr>
          <w:rFonts w:ascii="Calibri Light" w:hAnsi="Calibri Light" w:cs="Calibri Light"/>
        </w:rPr>
        <w:t xml:space="preserve"> Kore: The Stage One Report of the Housing Policy and Services Kaupapa Inquiry on Māori Homelessness</w:t>
      </w:r>
      <w:r w:rsidR="005026F9" w:rsidRPr="00DA663C">
        <w:rPr>
          <w:rFonts w:ascii="Calibri Light" w:hAnsi="Calibri Light" w:cs="Calibri Light"/>
        </w:rPr>
        <w:t xml:space="preserve"> (Wai </w:t>
      </w:r>
      <w:r w:rsidR="00E16762" w:rsidRPr="00DA663C">
        <w:rPr>
          <w:rFonts w:ascii="Calibri Light" w:hAnsi="Calibri Light" w:cs="Calibri Light"/>
        </w:rPr>
        <w:t>2750</w:t>
      </w:r>
      <w:r w:rsidR="005026F9" w:rsidRPr="00DA663C">
        <w:rPr>
          <w:rFonts w:ascii="Calibri Light" w:hAnsi="Calibri Light" w:cs="Calibri Light"/>
        </w:rPr>
        <w:t>, 202</w:t>
      </w:r>
      <w:r w:rsidR="00E16762" w:rsidRPr="00DA663C">
        <w:rPr>
          <w:rFonts w:ascii="Calibri Light" w:hAnsi="Calibri Light" w:cs="Calibri Light"/>
        </w:rPr>
        <w:t>4</w:t>
      </w:r>
      <w:r w:rsidR="005026F9" w:rsidRPr="00DA663C">
        <w:rPr>
          <w:rFonts w:ascii="Calibri Light" w:hAnsi="Calibri Light" w:cs="Calibri Light"/>
        </w:rPr>
        <w:t>)</w:t>
      </w:r>
      <w:r w:rsidR="00697B06" w:rsidRPr="00DA663C">
        <w:rPr>
          <w:rFonts w:ascii="Calibri Light" w:hAnsi="Calibri Light" w:cs="Calibri Light"/>
        </w:rPr>
        <w:t xml:space="preserve"> at 192–193</w:t>
      </w:r>
      <w:r w:rsidR="00E16762" w:rsidRPr="00DA663C">
        <w:rPr>
          <w:rFonts w:ascii="Calibri Light" w:hAnsi="Calibri Light" w:cs="Calibri Light"/>
        </w:rPr>
        <w:t>.</w:t>
      </w:r>
    </w:p>
  </w:footnote>
  <w:footnote w:id="36">
    <w:p w14:paraId="7146D454" w14:textId="483003F2" w:rsidR="001F010C" w:rsidRPr="00DA663C" w:rsidRDefault="001F010C">
      <w:pPr>
        <w:pStyle w:val="FootnoteText"/>
        <w:rPr>
          <w:rFonts w:ascii="Calibri Light" w:hAnsi="Calibri Light" w:cs="Calibri Light"/>
          <w:lang w:val="mi-NZ"/>
        </w:rPr>
      </w:pPr>
      <w:r w:rsidRPr="00DA663C">
        <w:rPr>
          <w:rStyle w:val="FootnoteReference"/>
          <w:rFonts w:ascii="Calibri Light" w:hAnsi="Calibri Light" w:cs="Calibri Light"/>
        </w:rPr>
        <w:footnoteRef/>
      </w:r>
      <w:r w:rsidRPr="00DA663C">
        <w:rPr>
          <w:rFonts w:ascii="Calibri Light" w:hAnsi="Calibri Light" w:cs="Calibri Light"/>
        </w:rPr>
        <w:t xml:space="preserve"> </w:t>
      </w:r>
      <w:r w:rsidR="003A38E1" w:rsidRPr="00DA663C">
        <w:rPr>
          <w:rFonts w:ascii="Calibri Light" w:hAnsi="Calibri Light" w:cs="Calibri Light"/>
        </w:rPr>
        <w:t xml:space="preserve">New Zealand DRAFT Implementation of the International Covenant on Economic, Social and Cultural Rights: Fifth periodic report submitted by States parties under articles 16 and 17 of the Covenant (12 December 2024) </w:t>
      </w:r>
      <w:r w:rsidR="003A38E1" w:rsidRPr="00DA663C">
        <w:rPr>
          <w:rFonts w:ascii="Calibri Light" w:hAnsi="Calibri Light" w:cs="Calibri Light"/>
          <w:lang w:val="mi-NZ"/>
        </w:rPr>
        <w:t>at [193].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B3173"/>
    <w:multiLevelType w:val="multilevel"/>
    <w:tmpl w:val="8084C976"/>
    <w:lvl w:ilvl="0">
      <w:start w:val="3"/>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7B5EF19"/>
    <w:multiLevelType w:val="multilevel"/>
    <w:tmpl w:val="C4663398"/>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0BD2BFD"/>
    <w:multiLevelType w:val="multilevel"/>
    <w:tmpl w:val="A454DAEC"/>
    <w:lvl w:ilvl="0">
      <w:start w:val="3"/>
      <w:numFmt w:val="decimal"/>
      <w:lvlText w:val="%1"/>
      <w:lvlJc w:val="left"/>
      <w:pPr>
        <w:ind w:left="480" w:hanging="480"/>
      </w:pPr>
      <w:rPr>
        <w:rFonts w:hint="default"/>
        <w:b w:val="0"/>
        <w:i w:val="0"/>
      </w:rPr>
    </w:lvl>
    <w:lvl w:ilvl="1">
      <w:start w:val="1"/>
      <w:numFmt w:val="decimal"/>
      <w:lvlText w:val="%1.%2"/>
      <w:lvlJc w:val="left"/>
      <w:pPr>
        <w:ind w:left="480" w:hanging="48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 w15:restartNumberingAfterBreak="0">
    <w:nsid w:val="247AACFD"/>
    <w:multiLevelType w:val="multilevel"/>
    <w:tmpl w:val="6076F7D0"/>
    <w:lvl w:ilvl="0">
      <w:start w:val="1"/>
      <w:numFmt w:val="decimal"/>
      <w:pStyle w:val="Heading1"/>
      <w:lvlText w:val="%1."/>
      <w:lvlJc w:val="left"/>
      <w:pPr>
        <w:ind w:left="720" w:hanging="360"/>
      </w:pPr>
      <w:rPr>
        <w:b/>
        <w:bCs w:val="0"/>
      </w:rPr>
    </w:lvl>
    <w:lvl w:ilvl="1">
      <w:start w:val="1"/>
      <w:numFmt w:val="decimal"/>
      <w:pStyle w:val="Heading2"/>
      <w:lvlText w:val="%1.%2."/>
      <w:lvlJc w:val="left"/>
      <w:pPr>
        <w:ind w:left="1440" w:hanging="360"/>
      </w:pPr>
      <w:rPr>
        <w:b w:val="0"/>
        <w:bCs w:val="0"/>
        <w:i w:val="0"/>
        <w:iCs w:val="0"/>
      </w:rPr>
    </w:lvl>
    <w:lvl w:ilvl="2">
      <w:start w:val="1"/>
      <w:numFmt w:val="decimal"/>
      <w:lvlText w:val="%1.%2."/>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3CDB5A97"/>
    <w:multiLevelType w:val="multilevel"/>
    <w:tmpl w:val="54465B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98551C"/>
    <w:multiLevelType w:val="multilevel"/>
    <w:tmpl w:val="D8468CD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400291"/>
    <w:multiLevelType w:val="multilevel"/>
    <w:tmpl w:val="340C043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87DC76"/>
    <w:multiLevelType w:val="hybridMultilevel"/>
    <w:tmpl w:val="A594C484"/>
    <w:lvl w:ilvl="0" w:tplc="6DEC61EC">
      <w:start w:val="1"/>
      <w:numFmt w:val="bullet"/>
      <w:lvlText w:val="-"/>
      <w:lvlJc w:val="left"/>
      <w:pPr>
        <w:ind w:left="720" w:hanging="360"/>
      </w:pPr>
      <w:rPr>
        <w:rFonts w:ascii="Aptos" w:hAnsi="Aptos" w:hint="default"/>
      </w:rPr>
    </w:lvl>
    <w:lvl w:ilvl="1" w:tplc="13503556">
      <w:start w:val="1"/>
      <w:numFmt w:val="bullet"/>
      <w:lvlText w:val="o"/>
      <w:lvlJc w:val="left"/>
      <w:pPr>
        <w:ind w:left="1440" w:hanging="360"/>
      </w:pPr>
      <w:rPr>
        <w:rFonts w:ascii="Courier New" w:hAnsi="Courier New" w:hint="default"/>
      </w:rPr>
    </w:lvl>
    <w:lvl w:ilvl="2" w:tplc="A7A026FE">
      <w:start w:val="1"/>
      <w:numFmt w:val="bullet"/>
      <w:lvlText w:val=""/>
      <w:lvlJc w:val="left"/>
      <w:pPr>
        <w:ind w:left="2160" w:hanging="360"/>
      </w:pPr>
      <w:rPr>
        <w:rFonts w:ascii="Wingdings" w:hAnsi="Wingdings" w:hint="default"/>
      </w:rPr>
    </w:lvl>
    <w:lvl w:ilvl="3" w:tplc="43627488">
      <w:start w:val="1"/>
      <w:numFmt w:val="bullet"/>
      <w:lvlText w:val=""/>
      <w:lvlJc w:val="left"/>
      <w:pPr>
        <w:ind w:left="2880" w:hanging="360"/>
      </w:pPr>
      <w:rPr>
        <w:rFonts w:ascii="Symbol" w:hAnsi="Symbol" w:hint="default"/>
      </w:rPr>
    </w:lvl>
    <w:lvl w:ilvl="4" w:tplc="0B88BAF4">
      <w:start w:val="1"/>
      <w:numFmt w:val="bullet"/>
      <w:lvlText w:val="o"/>
      <w:lvlJc w:val="left"/>
      <w:pPr>
        <w:ind w:left="3600" w:hanging="360"/>
      </w:pPr>
      <w:rPr>
        <w:rFonts w:ascii="Courier New" w:hAnsi="Courier New" w:hint="default"/>
      </w:rPr>
    </w:lvl>
    <w:lvl w:ilvl="5" w:tplc="B2B8CEA8">
      <w:start w:val="1"/>
      <w:numFmt w:val="bullet"/>
      <w:lvlText w:val=""/>
      <w:lvlJc w:val="left"/>
      <w:pPr>
        <w:ind w:left="4320" w:hanging="360"/>
      </w:pPr>
      <w:rPr>
        <w:rFonts w:ascii="Wingdings" w:hAnsi="Wingdings" w:hint="default"/>
      </w:rPr>
    </w:lvl>
    <w:lvl w:ilvl="6" w:tplc="C046D28E">
      <w:start w:val="1"/>
      <w:numFmt w:val="bullet"/>
      <w:lvlText w:val=""/>
      <w:lvlJc w:val="left"/>
      <w:pPr>
        <w:ind w:left="5040" w:hanging="360"/>
      </w:pPr>
      <w:rPr>
        <w:rFonts w:ascii="Symbol" w:hAnsi="Symbol" w:hint="default"/>
      </w:rPr>
    </w:lvl>
    <w:lvl w:ilvl="7" w:tplc="378EADA4">
      <w:start w:val="1"/>
      <w:numFmt w:val="bullet"/>
      <w:lvlText w:val="o"/>
      <w:lvlJc w:val="left"/>
      <w:pPr>
        <w:ind w:left="5760" w:hanging="360"/>
      </w:pPr>
      <w:rPr>
        <w:rFonts w:ascii="Courier New" w:hAnsi="Courier New" w:hint="default"/>
      </w:rPr>
    </w:lvl>
    <w:lvl w:ilvl="8" w:tplc="E74E6306">
      <w:start w:val="1"/>
      <w:numFmt w:val="bullet"/>
      <w:lvlText w:val=""/>
      <w:lvlJc w:val="left"/>
      <w:pPr>
        <w:ind w:left="6480" w:hanging="360"/>
      </w:pPr>
      <w:rPr>
        <w:rFonts w:ascii="Wingdings" w:hAnsi="Wingdings" w:hint="default"/>
      </w:rPr>
    </w:lvl>
  </w:abstractNum>
  <w:num w:numId="1" w16cid:durableId="1058745405">
    <w:abstractNumId w:val="1"/>
  </w:num>
  <w:num w:numId="2" w16cid:durableId="1442066403">
    <w:abstractNumId w:val="7"/>
  </w:num>
  <w:num w:numId="3" w16cid:durableId="62071914">
    <w:abstractNumId w:val="3"/>
  </w:num>
  <w:num w:numId="4" w16cid:durableId="768544135">
    <w:abstractNumId w:val="3"/>
  </w:num>
  <w:num w:numId="5" w16cid:durableId="995063776">
    <w:abstractNumId w:val="3"/>
  </w:num>
  <w:num w:numId="6" w16cid:durableId="582908157">
    <w:abstractNumId w:val="2"/>
  </w:num>
  <w:num w:numId="7" w16cid:durableId="516430116">
    <w:abstractNumId w:val="4"/>
  </w:num>
  <w:num w:numId="8" w16cid:durableId="717782991">
    <w:abstractNumId w:val="5"/>
  </w:num>
  <w:num w:numId="9" w16cid:durableId="182205830">
    <w:abstractNumId w:val="6"/>
  </w:num>
  <w:num w:numId="10" w16cid:durableId="77891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FDDB"/>
    <w:rsid w:val="00006B29"/>
    <w:rsid w:val="000171C3"/>
    <w:rsid w:val="00021594"/>
    <w:rsid w:val="00024239"/>
    <w:rsid w:val="00025108"/>
    <w:rsid w:val="00031AB9"/>
    <w:rsid w:val="00037809"/>
    <w:rsid w:val="0004464F"/>
    <w:rsid w:val="000468D9"/>
    <w:rsid w:val="0005086E"/>
    <w:rsid w:val="00057097"/>
    <w:rsid w:val="00061051"/>
    <w:rsid w:val="000641FB"/>
    <w:rsid w:val="000723F2"/>
    <w:rsid w:val="00073726"/>
    <w:rsid w:val="00083892"/>
    <w:rsid w:val="000843B8"/>
    <w:rsid w:val="00084FE2"/>
    <w:rsid w:val="00090D87"/>
    <w:rsid w:val="00093645"/>
    <w:rsid w:val="000B4E87"/>
    <w:rsid w:val="000C32EC"/>
    <w:rsid w:val="000C3CDE"/>
    <w:rsid w:val="000D2592"/>
    <w:rsid w:val="000D52EC"/>
    <w:rsid w:val="000D6E07"/>
    <w:rsid w:val="000E0E46"/>
    <w:rsid w:val="000E2F7E"/>
    <w:rsid w:val="000F1871"/>
    <w:rsid w:val="000F2936"/>
    <w:rsid w:val="000F40DC"/>
    <w:rsid w:val="000F58B9"/>
    <w:rsid w:val="001136BA"/>
    <w:rsid w:val="00115F4C"/>
    <w:rsid w:val="00120701"/>
    <w:rsid w:val="001334BF"/>
    <w:rsid w:val="00133F07"/>
    <w:rsid w:val="00137E12"/>
    <w:rsid w:val="0014396D"/>
    <w:rsid w:val="00150B8C"/>
    <w:rsid w:val="0018010F"/>
    <w:rsid w:val="001A6011"/>
    <w:rsid w:val="001B020E"/>
    <w:rsid w:val="001B06DE"/>
    <w:rsid w:val="001B3806"/>
    <w:rsid w:val="001B4625"/>
    <w:rsid w:val="001B48C8"/>
    <w:rsid w:val="001B5C98"/>
    <w:rsid w:val="001B6153"/>
    <w:rsid w:val="001B67DA"/>
    <w:rsid w:val="001D03CC"/>
    <w:rsid w:val="001D15BD"/>
    <w:rsid w:val="001D1EC9"/>
    <w:rsid w:val="001D5658"/>
    <w:rsid w:val="001E5964"/>
    <w:rsid w:val="001F010C"/>
    <w:rsid w:val="001F1892"/>
    <w:rsid w:val="0020251E"/>
    <w:rsid w:val="002120F2"/>
    <w:rsid w:val="0021583D"/>
    <w:rsid w:val="002248BE"/>
    <w:rsid w:val="00225326"/>
    <w:rsid w:val="00226115"/>
    <w:rsid w:val="00227E58"/>
    <w:rsid w:val="00227F86"/>
    <w:rsid w:val="00234F13"/>
    <w:rsid w:val="00243928"/>
    <w:rsid w:val="00256301"/>
    <w:rsid w:val="00265589"/>
    <w:rsid w:val="00267728"/>
    <w:rsid w:val="0027155F"/>
    <w:rsid w:val="00271BAB"/>
    <w:rsid w:val="0027603C"/>
    <w:rsid w:val="002834DD"/>
    <w:rsid w:val="002867D0"/>
    <w:rsid w:val="00294C21"/>
    <w:rsid w:val="00295758"/>
    <w:rsid w:val="002A116E"/>
    <w:rsid w:val="002A6BDA"/>
    <w:rsid w:val="002C1EEA"/>
    <w:rsid w:val="002C372C"/>
    <w:rsid w:val="002C782B"/>
    <w:rsid w:val="002D4592"/>
    <w:rsid w:val="002D5583"/>
    <w:rsid w:val="002E27B5"/>
    <w:rsid w:val="002F5EFE"/>
    <w:rsid w:val="002F681C"/>
    <w:rsid w:val="00307316"/>
    <w:rsid w:val="00312FA1"/>
    <w:rsid w:val="0031360B"/>
    <w:rsid w:val="00315E91"/>
    <w:rsid w:val="00317F17"/>
    <w:rsid w:val="00320948"/>
    <w:rsid w:val="00325A9F"/>
    <w:rsid w:val="00325F33"/>
    <w:rsid w:val="003300E1"/>
    <w:rsid w:val="00341D01"/>
    <w:rsid w:val="003503BB"/>
    <w:rsid w:val="00350B3F"/>
    <w:rsid w:val="00362C34"/>
    <w:rsid w:val="00364D55"/>
    <w:rsid w:val="0037750C"/>
    <w:rsid w:val="00377FF6"/>
    <w:rsid w:val="00383289"/>
    <w:rsid w:val="0039614E"/>
    <w:rsid w:val="003A0500"/>
    <w:rsid w:val="003A1A11"/>
    <w:rsid w:val="003A38E1"/>
    <w:rsid w:val="003C4364"/>
    <w:rsid w:val="003C7168"/>
    <w:rsid w:val="003F300F"/>
    <w:rsid w:val="00400852"/>
    <w:rsid w:val="00402A8A"/>
    <w:rsid w:val="004079A7"/>
    <w:rsid w:val="0041311F"/>
    <w:rsid w:val="00422F89"/>
    <w:rsid w:val="00427C37"/>
    <w:rsid w:val="00430693"/>
    <w:rsid w:val="00432A50"/>
    <w:rsid w:val="00433061"/>
    <w:rsid w:val="00433F6F"/>
    <w:rsid w:val="00434DAA"/>
    <w:rsid w:val="004436F1"/>
    <w:rsid w:val="004449DE"/>
    <w:rsid w:val="0044644C"/>
    <w:rsid w:val="004572A0"/>
    <w:rsid w:val="004606D9"/>
    <w:rsid w:val="004609F1"/>
    <w:rsid w:val="00464533"/>
    <w:rsid w:val="00467BA3"/>
    <w:rsid w:val="00475187"/>
    <w:rsid w:val="00475532"/>
    <w:rsid w:val="004759CC"/>
    <w:rsid w:val="00480A1C"/>
    <w:rsid w:val="004A5EF2"/>
    <w:rsid w:val="004C0B5C"/>
    <w:rsid w:val="004C289D"/>
    <w:rsid w:val="004F206F"/>
    <w:rsid w:val="004F7F35"/>
    <w:rsid w:val="005026F9"/>
    <w:rsid w:val="00510D0A"/>
    <w:rsid w:val="00512F91"/>
    <w:rsid w:val="005140BE"/>
    <w:rsid w:val="005140EB"/>
    <w:rsid w:val="00514B4A"/>
    <w:rsid w:val="005200F5"/>
    <w:rsid w:val="00522A93"/>
    <w:rsid w:val="00523342"/>
    <w:rsid w:val="005262F0"/>
    <w:rsid w:val="00527131"/>
    <w:rsid w:val="00533BEA"/>
    <w:rsid w:val="00533FBF"/>
    <w:rsid w:val="00541C81"/>
    <w:rsid w:val="005466AB"/>
    <w:rsid w:val="005576FA"/>
    <w:rsid w:val="00563ADF"/>
    <w:rsid w:val="00566D0E"/>
    <w:rsid w:val="00574029"/>
    <w:rsid w:val="00577394"/>
    <w:rsid w:val="005802E6"/>
    <w:rsid w:val="005A1977"/>
    <w:rsid w:val="005B062A"/>
    <w:rsid w:val="005B7F8B"/>
    <w:rsid w:val="005C2F7C"/>
    <w:rsid w:val="005C3AFB"/>
    <w:rsid w:val="005C4EED"/>
    <w:rsid w:val="005C6DB5"/>
    <w:rsid w:val="005C780D"/>
    <w:rsid w:val="005D0B04"/>
    <w:rsid w:val="005E3654"/>
    <w:rsid w:val="005E55CB"/>
    <w:rsid w:val="005F3E8C"/>
    <w:rsid w:val="005F5A08"/>
    <w:rsid w:val="005F778A"/>
    <w:rsid w:val="005F79B8"/>
    <w:rsid w:val="006017E1"/>
    <w:rsid w:val="00610167"/>
    <w:rsid w:val="006130A6"/>
    <w:rsid w:val="00614169"/>
    <w:rsid w:val="0061444B"/>
    <w:rsid w:val="00616B57"/>
    <w:rsid w:val="00617836"/>
    <w:rsid w:val="00653E26"/>
    <w:rsid w:val="006573B1"/>
    <w:rsid w:val="006574A1"/>
    <w:rsid w:val="00657DD4"/>
    <w:rsid w:val="0066405D"/>
    <w:rsid w:val="006647E7"/>
    <w:rsid w:val="00673F21"/>
    <w:rsid w:val="0067751F"/>
    <w:rsid w:val="0067799A"/>
    <w:rsid w:val="00680FB3"/>
    <w:rsid w:val="00697B06"/>
    <w:rsid w:val="006A0109"/>
    <w:rsid w:val="006A1096"/>
    <w:rsid w:val="006A30F5"/>
    <w:rsid w:val="006B787C"/>
    <w:rsid w:val="006C3EBC"/>
    <w:rsid w:val="006E3450"/>
    <w:rsid w:val="006E5769"/>
    <w:rsid w:val="006F2875"/>
    <w:rsid w:val="006F5252"/>
    <w:rsid w:val="006F61B4"/>
    <w:rsid w:val="006F7F39"/>
    <w:rsid w:val="00710AF8"/>
    <w:rsid w:val="00712F69"/>
    <w:rsid w:val="00715A9F"/>
    <w:rsid w:val="00725EC0"/>
    <w:rsid w:val="007361BD"/>
    <w:rsid w:val="007457FF"/>
    <w:rsid w:val="00746F03"/>
    <w:rsid w:val="007527D7"/>
    <w:rsid w:val="00754B5D"/>
    <w:rsid w:val="007563DA"/>
    <w:rsid w:val="00765025"/>
    <w:rsid w:val="00776365"/>
    <w:rsid w:val="00781530"/>
    <w:rsid w:val="007A097A"/>
    <w:rsid w:val="007A4583"/>
    <w:rsid w:val="007B3CFC"/>
    <w:rsid w:val="007B526D"/>
    <w:rsid w:val="007C6D25"/>
    <w:rsid w:val="007D1919"/>
    <w:rsid w:val="007D3A10"/>
    <w:rsid w:val="007D75C4"/>
    <w:rsid w:val="007E0274"/>
    <w:rsid w:val="007E0B35"/>
    <w:rsid w:val="007E57FF"/>
    <w:rsid w:val="007E7BFD"/>
    <w:rsid w:val="00815992"/>
    <w:rsid w:val="00824C5B"/>
    <w:rsid w:val="008327C8"/>
    <w:rsid w:val="0083328F"/>
    <w:rsid w:val="008368B2"/>
    <w:rsid w:val="008411A8"/>
    <w:rsid w:val="0084395F"/>
    <w:rsid w:val="008477C2"/>
    <w:rsid w:val="0086298D"/>
    <w:rsid w:val="00866EE6"/>
    <w:rsid w:val="00880AE7"/>
    <w:rsid w:val="00885303"/>
    <w:rsid w:val="00885EDD"/>
    <w:rsid w:val="00887663"/>
    <w:rsid w:val="00890439"/>
    <w:rsid w:val="008959AE"/>
    <w:rsid w:val="008A132D"/>
    <w:rsid w:val="008A2FFE"/>
    <w:rsid w:val="008B4161"/>
    <w:rsid w:val="008C0D7C"/>
    <w:rsid w:val="008C165A"/>
    <w:rsid w:val="008D0BDF"/>
    <w:rsid w:val="008E4FD5"/>
    <w:rsid w:val="008E7EDF"/>
    <w:rsid w:val="00903FDE"/>
    <w:rsid w:val="00906121"/>
    <w:rsid w:val="009104D7"/>
    <w:rsid w:val="00911D84"/>
    <w:rsid w:val="00913653"/>
    <w:rsid w:val="00917A51"/>
    <w:rsid w:val="00917C09"/>
    <w:rsid w:val="00927713"/>
    <w:rsid w:val="009327AD"/>
    <w:rsid w:val="00936746"/>
    <w:rsid w:val="00945219"/>
    <w:rsid w:val="009519CF"/>
    <w:rsid w:val="0095334E"/>
    <w:rsid w:val="00953D81"/>
    <w:rsid w:val="0095451B"/>
    <w:rsid w:val="00955391"/>
    <w:rsid w:val="00965103"/>
    <w:rsid w:val="00972063"/>
    <w:rsid w:val="00981B7D"/>
    <w:rsid w:val="009821FB"/>
    <w:rsid w:val="009A2765"/>
    <w:rsid w:val="009A4E23"/>
    <w:rsid w:val="009B5C65"/>
    <w:rsid w:val="009B6F3A"/>
    <w:rsid w:val="009C1754"/>
    <w:rsid w:val="009C3411"/>
    <w:rsid w:val="009D0C13"/>
    <w:rsid w:val="009D3138"/>
    <w:rsid w:val="009E0431"/>
    <w:rsid w:val="009E29B8"/>
    <w:rsid w:val="009E532A"/>
    <w:rsid w:val="009E6C70"/>
    <w:rsid w:val="009F0AFE"/>
    <w:rsid w:val="009F724F"/>
    <w:rsid w:val="00A11477"/>
    <w:rsid w:val="00A62AA6"/>
    <w:rsid w:val="00A645D2"/>
    <w:rsid w:val="00A6475F"/>
    <w:rsid w:val="00A74A48"/>
    <w:rsid w:val="00A95071"/>
    <w:rsid w:val="00AA05B6"/>
    <w:rsid w:val="00AB4530"/>
    <w:rsid w:val="00AC19ED"/>
    <w:rsid w:val="00AC1DE0"/>
    <w:rsid w:val="00AC3A2F"/>
    <w:rsid w:val="00AD5D7E"/>
    <w:rsid w:val="00AD5E98"/>
    <w:rsid w:val="00AE66F7"/>
    <w:rsid w:val="00AF0DE8"/>
    <w:rsid w:val="00B03FFA"/>
    <w:rsid w:val="00B063C6"/>
    <w:rsid w:val="00B06D55"/>
    <w:rsid w:val="00B11994"/>
    <w:rsid w:val="00B124FE"/>
    <w:rsid w:val="00B17612"/>
    <w:rsid w:val="00B17BA0"/>
    <w:rsid w:val="00B2179D"/>
    <w:rsid w:val="00B41720"/>
    <w:rsid w:val="00B43B7B"/>
    <w:rsid w:val="00B47090"/>
    <w:rsid w:val="00B5222D"/>
    <w:rsid w:val="00B62BD2"/>
    <w:rsid w:val="00B7329B"/>
    <w:rsid w:val="00B8196B"/>
    <w:rsid w:val="00B948F9"/>
    <w:rsid w:val="00B9647C"/>
    <w:rsid w:val="00BA143D"/>
    <w:rsid w:val="00BA57FC"/>
    <w:rsid w:val="00BA6C0A"/>
    <w:rsid w:val="00BC1F58"/>
    <w:rsid w:val="00BD0CAC"/>
    <w:rsid w:val="00BE2C12"/>
    <w:rsid w:val="00BE6231"/>
    <w:rsid w:val="00BF185F"/>
    <w:rsid w:val="00C000DB"/>
    <w:rsid w:val="00C00E3E"/>
    <w:rsid w:val="00C2215B"/>
    <w:rsid w:val="00C331CC"/>
    <w:rsid w:val="00C33887"/>
    <w:rsid w:val="00C3502C"/>
    <w:rsid w:val="00C37BC2"/>
    <w:rsid w:val="00C4189E"/>
    <w:rsid w:val="00C4789E"/>
    <w:rsid w:val="00C546EB"/>
    <w:rsid w:val="00C64D6F"/>
    <w:rsid w:val="00C779E1"/>
    <w:rsid w:val="00C842B6"/>
    <w:rsid w:val="00C879F6"/>
    <w:rsid w:val="00CB56F5"/>
    <w:rsid w:val="00D0027F"/>
    <w:rsid w:val="00D047ED"/>
    <w:rsid w:val="00D10F40"/>
    <w:rsid w:val="00D1210C"/>
    <w:rsid w:val="00D147F9"/>
    <w:rsid w:val="00D22982"/>
    <w:rsid w:val="00D24E5B"/>
    <w:rsid w:val="00D31F1F"/>
    <w:rsid w:val="00D329C1"/>
    <w:rsid w:val="00D34841"/>
    <w:rsid w:val="00D4608B"/>
    <w:rsid w:val="00D468BA"/>
    <w:rsid w:val="00D55DB6"/>
    <w:rsid w:val="00D65727"/>
    <w:rsid w:val="00D67980"/>
    <w:rsid w:val="00D817CD"/>
    <w:rsid w:val="00D9336B"/>
    <w:rsid w:val="00DA5496"/>
    <w:rsid w:val="00DA663C"/>
    <w:rsid w:val="00DB0C6C"/>
    <w:rsid w:val="00DB5831"/>
    <w:rsid w:val="00DB5E08"/>
    <w:rsid w:val="00DB6894"/>
    <w:rsid w:val="00DC1624"/>
    <w:rsid w:val="00DC56C5"/>
    <w:rsid w:val="00DD2CDC"/>
    <w:rsid w:val="00DE1538"/>
    <w:rsid w:val="00DE571D"/>
    <w:rsid w:val="00DF0E24"/>
    <w:rsid w:val="00DF23BD"/>
    <w:rsid w:val="00DF39B3"/>
    <w:rsid w:val="00DF660E"/>
    <w:rsid w:val="00E011A7"/>
    <w:rsid w:val="00E12CA5"/>
    <w:rsid w:val="00E16762"/>
    <w:rsid w:val="00E1FDDB"/>
    <w:rsid w:val="00E23913"/>
    <w:rsid w:val="00E2570A"/>
    <w:rsid w:val="00E26B6D"/>
    <w:rsid w:val="00E41AE5"/>
    <w:rsid w:val="00E50B64"/>
    <w:rsid w:val="00E6112E"/>
    <w:rsid w:val="00E87E5C"/>
    <w:rsid w:val="00E92EF7"/>
    <w:rsid w:val="00EA61E6"/>
    <w:rsid w:val="00EB3301"/>
    <w:rsid w:val="00EB7829"/>
    <w:rsid w:val="00EB795E"/>
    <w:rsid w:val="00EC5B18"/>
    <w:rsid w:val="00EC681D"/>
    <w:rsid w:val="00EE0D18"/>
    <w:rsid w:val="00EE78FE"/>
    <w:rsid w:val="00EF1D82"/>
    <w:rsid w:val="00EF575E"/>
    <w:rsid w:val="00EF7735"/>
    <w:rsid w:val="00F03B8A"/>
    <w:rsid w:val="00F043D1"/>
    <w:rsid w:val="00F079D2"/>
    <w:rsid w:val="00F12BBB"/>
    <w:rsid w:val="00F16238"/>
    <w:rsid w:val="00F27D5B"/>
    <w:rsid w:val="00F31D2A"/>
    <w:rsid w:val="00F37638"/>
    <w:rsid w:val="00F47099"/>
    <w:rsid w:val="00F66408"/>
    <w:rsid w:val="00F7687F"/>
    <w:rsid w:val="00F779BD"/>
    <w:rsid w:val="00F77B21"/>
    <w:rsid w:val="00F86D00"/>
    <w:rsid w:val="00F922B1"/>
    <w:rsid w:val="00F93D13"/>
    <w:rsid w:val="00F9690D"/>
    <w:rsid w:val="00FA03C1"/>
    <w:rsid w:val="00FA04D0"/>
    <w:rsid w:val="00FA0BDB"/>
    <w:rsid w:val="00FA1B45"/>
    <w:rsid w:val="00FA3456"/>
    <w:rsid w:val="00FB2B07"/>
    <w:rsid w:val="00FC0889"/>
    <w:rsid w:val="00FC1B00"/>
    <w:rsid w:val="00FC43A6"/>
    <w:rsid w:val="00FD6080"/>
    <w:rsid w:val="00FD6440"/>
    <w:rsid w:val="00FE29E2"/>
    <w:rsid w:val="00FE78D6"/>
    <w:rsid w:val="00FF2D68"/>
    <w:rsid w:val="00FF30DE"/>
    <w:rsid w:val="00FFC121"/>
    <w:rsid w:val="02AEACDC"/>
    <w:rsid w:val="031582D7"/>
    <w:rsid w:val="0460801C"/>
    <w:rsid w:val="046B6B89"/>
    <w:rsid w:val="049A2782"/>
    <w:rsid w:val="05ED737A"/>
    <w:rsid w:val="06334A38"/>
    <w:rsid w:val="067C0B08"/>
    <w:rsid w:val="06BEAA99"/>
    <w:rsid w:val="06EEEBCE"/>
    <w:rsid w:val="070ED9BE"/>
    <w:rsid w:val="0774C376"/>
    <w:rsid w:val="081BBDC8"/>
    <w:rsid w:val="08AFE221"/>
    <w:rsid w:val="08FC38BA"/>
    <w:rsid w:val="09061773"/>
    <w:rsid w:val="0A4BF599"/>
    <w:rsid w:val="0A4C87DC"/>
    <w:rsid w:val="0A5C96AC"/>
    <w:rsid w:val="12D42CE2"/>
    <w:rsid w:val="144AB384"/>
    <w:rsid w:val="152773CC"/>
    <w:rsid w:val="15893982"/>
    <w:rsid w:val="159D1DD1"/>
    <w:rsid w:val="17B56EEB"/>
    <w:rsid w:val="17C89287"/>
    <w:rsid w:val="18A0C9E5"/>
    <w:rsid w:val="1A665FE5"/>
    <w:rsid w:val="209FC3F9"/>
    <w:rsid w:val="214E99A0"/>
    <w:rsid w:val="22BDC9D0"/>
    <w:rsid w:val="22DE277D"/>
    <w:rsid w:val="23F679FE"/>
    <w:rsid w:val="25405C7E"/>
    <w:rsid w:val="25D9F7BB"/>
    <w:rsid w:val="260A8AEA"/>
    <w:rsid w:val="26FE213C"/>
    <w:rsid w:val="270CBDA0"/>
    <w:rsid w:val="2781335B"/>
    <w:rsid w:val="298DA36F"/>
    <w:rsid w:val="2B502DE7"/>
    <w:rsid w:val="2BE542CB"/>
    <w:rsid w:val="2C3FAC1F"/>
    <w:rsid w:val="2DFC2226"/>
    <w:rsid w:val="2E5F385B"/>
    <w:rsid w:val="2FFA2FFA"/>
    <w:rsid w:val="324C40C4"/>
    <w:rsid w:val="32C83425"/>
    <w:rsid w:val="32EB2B5D"/>
    <w:rsid w:val="34450273"/>
    <w:rsid w:val="34A2ED04"/>
    <w:rsid w:val="34DD175F"/>
    <w:rsid w:val="3570D0BB"/>
    <w:rsid w:val="368691DE"/>
    <w:rsid w:val="37F48A71"/>
    <w:rsid w:val="3815C3A9"/>
    <w:rsid w:val="3825C618"/>
    <w:rsid w:val="383A8F28"/>
    <w:rsid w:val="399B1F5A"/>
    <w:rsid w:val="39F88999"/>
    <w:rsid w:val="3A2BADBD"/>
    <w:rsid w:val="3ACF1147"/>
    <w:rsid w:val="3BF6E16E"/>
    <w:rsid w:val="3EFADE38"/>
    <w:rsid w:val="3F0988E1"/>
    <w:rsid w:val="400EC603"/>
    <w:rsid w:val="4120DD93"/>
    <w:rsid w:val="41F27BA3"/>
    <w:rsid w:val="436C7590"/>
    <w:rsid w:val="43C0D4B9"/>
    <w:rsid w:val="44F79437"/>
    <w:rsid w:val="45BFEE5D"/>
    <w:rsid w:val="45C5DCF6"/>
    <w:rsid w:val="46234C9D"/>
    <w:rsid w:val="4917F180"/>
    <w:rsid w:val="49A7356E"/>
    <w:rsid w:val="49DF6088"/>
    <w:rsid w:val="4A699CA4"/>
    <w:rsid w:val="4C1864BA"/>
    <w:rsid w:val="4CE69C9D"/>
    <w:rsid w:val="4EA86693"/>
    <w:rsid w:val="4EC763E5"/>
    <w:rsid w:val="4F4AD3DF"/>
    <w:rsid w:val="4FB25A28"/>
    <w:rsid w:val="513184C8"/>
    <w:rsid w:val="526C3F6D"/>
    <w:rsid w:val="53E5E824"/>
    <w:rsid w:val="548B3769"/>
    <w:rsid w:val="55948DDE"/>
    <w:rsid w:val="55FD5F75"/>
    <w:rsid w:val="57407039"/>
    <w:rsid w:val="57E7E1E3"/>
    <w:rsid w:val="5970EAAD"/>
    <w:rsid w:val="59CB3EDD"/>
    <w:rsid w:val="5A09D106"/>
    <w:rsid w:val="5B46E5C0"/>
    <w:rsid w:val="5C3C888C"/>
    <w:rsid w:val="5E2306E4"/>
    <w:rsid w:val="5EC1343F"/>
    <w:rsid w:val="5F33CE29"/>
    <w:rsid w:val="5F7EA109"/>
    <w:rsid w:val="5FD4B458"/>
    <w:rsid w:val="6080576B"/>
    <w:rsid w:val="632B2BC7"/>
    <w:rsid w:val="635E33B3"/>
    <w:rsid w:val="63A363C2"/>
    <w:rsid w:val="65CEE68F"/>
    <w:rsid w:val="66593CAD"/>
    <w:rsid w:val="6832C3D8"/>
    <w:rsid w:val="691C45BE"/>
    <w:rsid w:val="6CF87CA4"/>
    <w:rsid w:val="6D45610A"/>
    <w:rsid w:val="6D62C7F2"/>
    <w:rsid w:val="6D98D5F2"/>
    <w:rsid w:val="6E3E6D86"/>
    <w:rsid w:val="70F3D0C4"/>
    <w:rsid w:val="73794F79"/>
    <w:rsid w:val="745A7787"/>
    <w:rsid w:val="7921D38D"/>
    <w:rsid w:val="797AD1E2"/>
    <w:rsid w:val="7984B85D"/>
    <w:rsid w:val="7D61F752"/>
    <w:rsid w:val="7DD4C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FDDB"/>
  <w15:chartTrackingRefBased/>
  <w15:docId w15:val="{868537BA-035F-4C9B-8DC6-D0A100E3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2BDC9D0"/>
    <w:pPr>
      <w:spacing w:after="240"/>
    </w:pPr>
    <w:rPr>
      <w:rFonts w:ascii="Times New Roman" w:eastAsia="Times New Roman" w:hAnsi="Times New Roman" w:cs="Times New Roman"/>
      <w:lang w:val="en-NZ"/>
    </w:rPr>
  </w:style>
  <w:style w:type="paragraph" w:styleId="Heading1">
    <w:name w:val="heading 1"/>
    <w:basedOn w:val="ListParagraph"/>
    <w:next w:val="Normal"/>
    <w:link w:val="Heading1Char"/>
    <w:uiPriority w:val="9"/>
    <w:qFormat/>
    <w:rsid w:val="00781530"/>
    <w:pPr>
      <w:numPr>
        <w:numId w:val="3"/>
      </w:numPr>
      <w:spacing w:line="360" w:lineRule="auto"/>
      <w:contextualSpacing w:val="0"/>
      <w:outlineLvl w:val="0"/>
    </w:pPr>
    <w:rPr>
      <w:b/>
      <w:bCs/>
    </w:rPr>
  </w:style>
  <w:style w:type="paragraph" w:styleId="Heading2">
    <w:name w:val="heading 2"/>
    <w:basedOn w:val="ListParagraph"/>
    <w:next w:val="Normal"/>
    <w:link w:val="Heading2Char"/>
    <w:uiPriority w:val="9"/>
    <w:unhideWhenUsed/>
    <w:qFormat/>
    <w:rsid w:val="00FD6080"/>
    <w:pPr>
      <w:numPr>
        <w:ilvl w:val="1"/>
        <w:numId w:val="3"/>
      </w:numPr>
      <w:spacing w:line="360" w:lineRule="auto"/>
      <w:contextualSpacing w:val="0"/>
      <w:jc w:val="both"/>
      <w:outlineLvl w:val="1"/>
    </w:pPr>
    <w:rPr>
      <w:b/>
      <w:bCs/>
      <w:i/>
      <w:iCs/>
    </w:rPr>
  </w:style>
  <w:style w:type="paragraph" w:styleId="Heading3">
    <w:name w:val="heading 3"/>
    <w:basedOn w:val="Normal"/>
    <w:next w:val="Normal"/>
    <w:link w:val="Heading3Char"/>
    <w:uiPriority w:val="9"/>
    <w:unhideWhenUsed/>
    <w:qFormat/>
    <w:rsid w:val="22BDC9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2BDC9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2BDC9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2BDC9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2BDC9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2BDC9D0"/>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2BDC9D0"/>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81530"/>
    <w:rPr>
      <w:rFonts w:ascii="Times New Roman" w:eastAsia="Times New Roman" w:hAnsi="Times New Roman" w:cs="Times New Roman"/>
      <w:b/>
      <w:bCs/>
      <w:lang w:val="en-NZ"/>
    </w:rPr>
  </w:style>
  <w:style w:type="character" w:customStyle="1" w:styleId="Heading2Char">
    <w:name w:val="Heading 2 Char"/>
    <w:basedOn w:val="DefaultParagraphFont"/>
    <w:link w:val="Heading2"/>
    <w:uiPriority w:val="9"/>
    <w:rsid w:val="00FD6080"/>
    <w:rPr>
      <w:rFonts w:ascii="Times New Roman" w:eastAsia="Times New Roman" w:hAnsi="Times New Roman" w:cs="Times New Roman"/>
      <w:b/>
      <w:bCs/>
      <w:i/>
      <w:iCs/>
      <w:lang w:val="en-NZ"/>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link w:val="Title"/>
    <w:uiPriority w:val="10"/>
    <w:rsid w:val="22BDC9D0"/>
    <w:rPr>
      <w:b/>
      <w:bCs/>
      <w:sz w:val="28"/>
      <w:szCs w:val="28"/>
    </w:rPr>
  </w:style>
  <w:style w:type="paragraph" w:styleId="Title">
    <w:name w:val="Title"/>
    <w:basedOn w:val="Normal"/>
    <w:next w:val="Normal"/>
    <w:link w:val="TitleChar"/>
    <w:uiPriority w:val="10"/>
    <w:qFormat/>
    <w:rsid w:val="22BDC9D0"/>
    <w:pPr>
      <w:jc w:val="center"/>
    </w:pPr>
    <w:rPr>
      <w:b/>
      <w:bCs/>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2BDC9D0"/>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2BDC9D0"/>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2BDC9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22BDC9D0"/>
    <w:rPr>
      <w:color w:val="467886"/>
      <w:u w:val="single"/>
    </w:rPr>
  </w:style>
  <w:style w:type="paragraph" w:styleId="FootnoteText">
    <w:name w:val="footnote text"/>
    <w:basedOn w:val="Normal"/>
    <w:uiPriority w:val="99"/>
    <w:semiHidden/>
    <w:unhideWhenUsed/>
    <w:rsid w:val="22BDC9D0"/>
    <w:pPr>
      <w:spacing w:after="0"/>
    </w:pPr>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7E7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FD"/>
    <w:rPr>
      <w:rFonts w:ascii="Times New Roman" w:eastAsia="Times New Roman" w:hAnsi="Times New Roman" w:cs="Times New Roman"/>
      <w:lang w:val="en-NZ"/>
    </w:rPr>
  </w:style>
  <w:style w:type="paragraph" w:styleId="Footer">
    <w:name w:val="footer"/>
    <w:basedOn w:val="Normal"/>
    <w:link w:val="FooterChar"/>
    <w:uiPriority w:val="99"/>
    <w:unhideWhenUsed/>
    <w:rsid w:val="007E7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FD"/>
    <w:rPr>
      <w:rFonts w:ascii="Times New Roman" w:eastAsia="Times New Roman" w:hAnsi="Times New Roman" w:cs="Times New Roman"/>
      <w:lang w:val="en-NZ"/>
    </w:rPr>
  </w:style>
  <w:style w:type="character" w:styleId="CommentReference">
    <w:name w:val="annotation reference"/>
    <w:basedOn w:val="DefaultParagraphFont"/>
    <w:uiPriority w:val="99"/>
    <w:semiHidden/>
    <w:unhideWhenUsed/>
    <w:rsid w:val="00887663"/>
    <w:rPr>
      <w:sz w:val="16"/>
      <w:szCs w:val="16"/>
    </w:rPr>
  </w:style>
  <w:style w:type="paragraph" w:styleId="CommentText">
    <w:name w:val="annotation text"/>
    <w:basedOn w:val="Normal"/>
    <w:link w:val="CommentTextChar"/>
    <w:uiPriority w:val="99"/>
    <w:unhideWhenUsed/>
    <w:rsid w:val="00887663"/>
    <w:pPr>
      <w:spacing w:line="240" w:lineRule="auto"/>
    </w:pPr>
    <w:rPr>
      <w:sz w:val="20"/>
      <w:szCs w:val="20"/>
    </w:rPr>
  </w:style>
  <w:style w:type="character" w:customStyle="1" w:styleId="CommentTextChar">
    <w:name w:val="Comment Text Char"/>
    <w:basedOn w:val="DefaultParagraphFont"/>
    <w:link w:val="CommentText"/>
    <w:uiPriority w:val="99"/>
    <w:rsid w:val="00887663"/>
    <w:rPr>
      <w:rFonts w:ascii="Times New Roman" w:eastAsia="Times New Roman" w:hAnsi="Times New Roman" w:cs="Times New Roman"/>
      <w:sz w:val="20"/>
      <w:szCs w:val="20"/>
      <w:lang w:val="en-NZ"/>
    </w:rPr>
  </w:style>
  <w:style w:type="paragraph" w:styleId="CommentSubject">
    <w:name w:val="annotation subject"/>
    <w:basedOn w:val="CommentText"/>
    <w:next w:val="CommentText"/>
    <w:link w:val="CommentSubjectChar"/>
    <w:uiPriority w:val="99"/>
    <w:semiHidden/>
    <w:unhideWhenUsed/>
    <w:rsid w:val="00887663"/>
    <w:rPr>
      <w:b/>
      <w:bCs/>
    </w:rPr>
  </w:style>
  <w:style w:type="character" w:customStyle="1" w:styleId="CommentSubjectChar">
    <w:name w:val="Comment Subject Char"/>
    <w:basedOn w:val="CommentTextChar"/>
    <w:link w:val="CommentSubject"/>
    <w:uiPriority w:val="99"/>
    <w:semiHidden/>
    <w:rsid w:val="00887663"/>
    <w:rPr>
      <w:rFonts w:ascii="Times New Roman" w:eastAsia="Times New Roman" w:hAnsi="Times New Roman" w:cs="Times New Roman"/>
      <w:b/>
      <w:bCs/>
      <w:sz w:val="20"/>
      <w:szCs w:val="20"/>
      <w:lang w:val="en-NZ"/>
    </w:rPr>
  </w:style>
  <w:style w:type="character" w:styleId="UnresolvedMention">
    <w:name w:val="Unresolved Mention"/>
    <w:basedOn w:val="DefaultParagraphFont"/>
    <w:uiPriority w:val="99"/>
    <w:semiHidden/>
    <w:unhideWhenUsed/>
    <w:rsid w:val="009E532A"/>
    <w:rPr>
      <w:color w:val="605E5C"/>
      <w:shd w:val="clear" w:color="auto" w:fill="E1DFDD"/>
    </w:rPr>
  </w:style>
  <w:style w:type="character" w:styleId="PageNumber">
    <w:name w:val="page number"/>
    <w:basedOn w:val="DefaultParagraphFont"/>
    <w:uiPriority w:val="99"/>
    <w:semiHidden/>
    <w:unhideWhenUsed/>
    <w:rsid w:val="00362C34"/>
  </w:style>
  <w:style w:type="paragraph" w:styleId="NoSpacing">
    <w:name w:val="No Spacing"/>
    <w:uiPriority w:val="1"/>
    <w:qFormat/>
    <w:rsid w:val="004F7F35"/>
    <w:pPr>
      <w:suppressAutoHyphens/>
      <w:spacing w:after="0" w:line="260" w:lineRule="exact"/>
    </w:pPr>
    <w:rPr>
      <w:rFonts w:ascii="Verdana" w:hAnsi="Verdana"/>
      <w:sz w:val="17"/>
      <w:szCs w:val="20"/>
    </w:rPr>
  </w:style>
  <w:style w:type="table" w:styleId="TableGrid">
    <w:name w:val="Table Grid"/>
    <w:basedOn w:val="TableNormal"/>
    <w:uiPriority w:val="59"/>
    <w:rsid w:val="004F7F35"/>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748C-A1BE-4EB1-8D18-AB0A0E8E0BB1}">
  <ds:schemaRefs>
    <ds:schemaRef ds:uri="http://schemas.openxmlformats.org/officeDocument/2006/bibliography"/>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Loulie-Wijtenburg</dc:creator>
  <cp:keywords/>
  <dc:description/>
  <cp:lastModifiedBy>Claire Charters</cp:lastModifiedBy>
  <cp:revision>3</cp:revision>
  <dcterms:created xsi:type="dcterms:W3CDTF">2025-02-06T23:20:00Z</dcterms:created>
  <dcterms:modified xsi:type="dcterms:W3CDTF">2025-02-06T23:24:00Z</dcterms:modified>
</cp:coreProperties>
</file>