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CB07" w14:textId="27B26034" w:rsidR="007810B4" w:rsidRPr="000C081F" w:rsidRDefault="007810B4" w:rsidP="00663D17">
      <w:pPr>
        <w:spacing w:line="360" w:lineRule="auto"/>
        <w:jc w:val="center"/>
        <w:rPr>
          <w:rFonts w:asciiTheme="minorHAnsi" w:eastAsia="Calibri" w:hAnsiTheme="minorHAnsi" w:cs="Calibri"/>
          <w:b/>
          <w:bCs/>
          <w:color w:val="000000"/>
        </w:rPr>
      </w:pPr>
      <w:r w:rsidRPr="000C081F">
        <w:rPr>
          <w:rFonts w:asciiTheme="minorHAnsi" w:eastAsia="Calibri" w:hAnsiTheme="minorHAnsi" w:cs="Calibri"/>
          <w:b/>
          <w:bCs/>
          <w:color w:val="000000"/>
        </w:rPr>
        <w:t xml:space="preserve">Is the </w:t>
      </w:r>
      <w:r w:rsidR="000440DB" w:rsidRPr="000C081F">
        <w:rPr>
          <w:rFonts w:asciiTheme="minorHAnsi" w:eastAsia="Calibri" w:hAnsiTheme="minorHAnsi" w:cs="Calibri"/>
          <w:b/>
          <w:bCs/>
          <w:color w:val="000000"/>
        </w:rPr>
        <w:t>I</w:t>
      </w:r>
      <w:r w:rsidRPr="000C081F">
        <w:rPr>
          <w:rFonts w:asciiTheme="minorHAnsi" w:eastAsia="Calibri" w:hAnsiTheme="minorHAnsi" w:cs="Calibri"/>
          <w:b/>
          <w:bCs/>
          <w:color w:val="000000"/>
        </w:rPr>
        <w:t xml:space="preserve">ncorporation of Indigenous </w:t>
      </w:r>
      <w:r w:rsidR="000440DB" w:rsidRPr="000C081F">
        <w:rPr>
          <w:rFonts w:asciiTheme="minorHAnsi" w:eastAsia="Calibri" w:hAnsiTheme="minorHAnsi" w:cs="Calibri"/>
          <w:b/>
          <w:bCs/>
          <w:color w:val="000000"/>
        </w:rPr>
        <w:t>L</w:t>
      </w:r>
      <w:r w:rsidRPr="000C081F">
        <w:rPr>
          <w:rFonts w:asciiTheme="minorHAnsi" w:eastAsia="Calibri" w:hAnsiTheme="minorHAnsi" w:cs="Calibri"/>
          <w:b/>
          <w:bCs/>
          <w:color w:val="000000"/>
        </w:rPr>
        <w:t xml:space="preserve">aw into </w:t>
      </w:r>
      <w:r w:rsidR="000440DB" w:rsidRPr="000C081F">
        <w:rPr>
          <w:rFonts w:asciiTheme="minorHAnsi" w:eastAsia="Calibri" w:hAnsiTheme="minorHAnsi" w:cs="Calibri"/>
          <w:b/>
          <w:bCs/>
          <w:color w:val="000000"/>
        </w:rPr>
        <w:t>S</w:t>
      </w:r>
      <w:r w:rsidRPr="000C081F">
        <w:rPr>
          <w:rFonts w:asciiTheme="minorHAnsi" w:eastAsia="Calibri" w:hAnsiTheme="minorHAnsi" w:cs="Calibri"/>
          <w:b/>
          <w:bCs/>
          <w:color w:val="000000"/>
        </w:rPr>
        <w:t xml:space="preserve">tate </w:t>
      </w:r>
      <w:r w:rsidR="000440DB" w:rsidRPr="000C081F">
        <w:rPr>
          <w:rFonts w:asciiTheme="minorHAnsi" w:eastAsia="Calibri" w:hAnsiTheme="minorHAnsi" w:cs="Calibri"/>
          <w:b/>
          <w:bCs/>
          <w:color w:val="000000"/>
        </w:rPr>
        <w:t>L</w:t>
      </w:r>
      <w:r w:rsidRPr="000C081F">
        <w:rPr>
          <w:rFonts w:asciiTheme="minorHAnsi" w:eastAsia="Calibri" w:hAnsiTheme="minorHAnsi" w:cs="Calibri"/>
          <w:b/>
          <w:bCs/>
          <w:color w:val="000000"/>
        </w:rPr>
        <w:t xml:space="preserve">aw </w:t>
      </w:r>
      <w:r w:rsidRPr="000C081F">
        <w:rPr>
          <w:rFonts w:asciiTheme="minorHAnsi" w:eastAsia="Calibri" w:hAnsiTheme="minorHAnsi" w:cs="Calibri"/>
          <w:b/>
          <w:bCs/>
        </w:rPr>
        <w:t xml:space="preserve">an </w:t>
      </w:r>
      <w:r w:rsidR="000440DB" w:rsidRPr="000C081F">
        <w:rPr>
          <w:rFonts w:asciiTheme="minorHAnsi" w:eastAsia="Calibri" w:hAnsiTheme="minorHAnsi" w:cs="Calibri"/>
          <w:b/>
          <w:bCs/>
        </w:rPr>
        <w:t>E</w:t>
      </w:r>
      <w:r w:rsidRPr="000C081F">
        <w:rPr>
          <w:rFonts w:asciiTheme="minorHAnsi" w:eastAsia="Calibri" w:hAnsiTheme="minorHAnsi" w:cs="Calibri"/>
          <w:b/>
          <w:bCs/>
        </w:rPr>
        <w:t>xpression of</w:t>
      </w:r>
      <w:r w:rsidRPr="000C081F">
        <w:rPr>
          <w:rFonts w:asciiTheme="minorHAnsi" w:eastAsia="Calibri" w:hAnsiTheme="minorHAnsi" w:cs="Calibri"/>
          <w:b/>
          <w:bCs/>
          <w:color w:val="000000"/>
        </w:rPr>
        <w:t xml:space="preserve"> Indigenous </w:t>
      </w:r>
      <w:r w:rsidR="000440DB" w:rsidRPr="000C081F">
        <w:rPr>
          <w:rFonts w:asciiTheme="minorHAnsi" w:eastAsia="Calibri" w:hAnsiTheme="minorHAnsi" w:cs="Calibri"/>
          <w:b/>
          <w:bCs/>
          <w:color w:val="000000"/>
        </w:rPr>
        <w:t>P</w:t>
      </w:r>
      <w:r w:rsidRPr="000C081F">
        <w:rPr>
          <w:rFonts w:asciiTheme="minorHAnsi" w:eastAsia="Calibri" w:hAnsiTheme="minorHAnsi" w:cs="Calibri"/>
          <w:b/>
          <w:bCs/>
          <w:color w:val="000000"/>
        </w:rPr>
        <w:t xml:space="preserve">eoples’ </w:t>
      </w:r>
      <w:r w:rsidR="000440DB" w:rsidRPr="000C081F">
        <w:rPr>
          <w:rFonts w:asciiTheme="minorHAnsi" w:eastAsia="Calibri" w:hAnsiTheme="minorHAnsi" w:cs="Calibri"/>
          <w:b/>
          <w:bCs/>
          <w:color w:val="000000"/>
        </w:rPr>
        <w:t>S</w:t>
      </w:r>
      <w:r w:rsidRPr="000C081F">
        <w:rPr>
          <w:rFonts w:asciiTheme="minorHAnsi" w:eastAsia="Calibri" w:hAnsiTheme="minorHAnsi" w:cs="Calibri"/>
          <w:b/>
          <w:bCs/>
          <w:color w:val="000000"/>
        </w:rPr>
        <w:t xml:space="preserve">elf-determination?  </w:t>
      </w:r>
    </w:p>
    <w:p w14:paraId="1820B4E5" w14:textId="77777777" w:rsidR="007810B4" w:rsidRPr="000C081F" w:rsidRDefault="007810B4" w:rsidP="00663D17">
      <w:pPr>
        <w:spacing w:line="360" w:lineRule="auto"/>
        <w:jc w:val="center"/>
        <w:rPr>
          <w:rFonts w:asciiTheme="minorHAnsi" w:eastAsia="Calibri" w:hAnsiTheme="minorHAnsi" w:cs="Calibri"/>
          <w:b/>
          <w:bCs/>
          <w:color w:val="000000"/>
        </w:rPr>
      </w:pPr>
      <w:r w:rsidRPr="000C081F">
        <w:rPr>
          <w:rFonts w:asciiTheme="minorHAnsi" w:eastAsia="Calibri" w:hAnsiTheme="minorHAnsi" w:cs="Calibri"/>
          <w:b/>
          <w:bCs/>
          <w:color w:val="000000"/>
        </w:rPr>
        <w:t xml:space="preserve">Theory, Practice, </w:t>
      </w:r>
      <w:r w:rsidRPr="000C081F">
        <w:rPr>
          <w:rFonts w:asciiTheme="minorHAnsi" w:eastAsia="Calibri" w:hAnsiTheme="minorHAnsi" w:cs="Calibri"/>
          <w:b/>
          <w:bCs/>
        </w:rPr>
        <w:t>Opportunities</w:t>
      </w:r>
      <w:r w:rsidRPr="000C081F">
        <w:rPr>
          <w:rFonts w:asciiTheme="minorHAnsi" w:eastAsia="Calibri" w:hAnsiTheme="minorHAnsi" w:cs="Calibri"/>
          <w:b/>
          <w:bCs/>
          <w:color w:val="000000"/>
        </w:rPr>
        <w:t xml:space="preserve"> and Challenges</w:t>
      </w:r>
    </w:p>
    <w:p w14:paraId="57C47C24" w14:textId="77777777" w:rsidR="000440DB" w:rsidRPr="000C081F" w:rsidRDefault="000440DB" w:rsidP="00663D17">
      <w:pPr>
        <w:spacing w:line="360" w:lineRule="auto"/>
        <w:jc w:val="center"/>
        <w:rPr>
          <w:rFonts w:asciiTheme="minorHAnsi" w:eastAsia="Calibri" w:hAnsiTheme="minorHAnsi" w:cs="Calibri"/>
          <w:color w:val="212121"/>
        </w:rPr>
      </w:pPr>
    </w:p>
    <w:p w14:paraId="3B92C770" w14:textId="0BEB2D6F" w:rsidR="000440DB" w:rsidRPr="000C081F" w:rsidRDefault="000440DB" w:rsidP="00663D17">
      <w:pPr>
        <w:spacing w:line="360" w:lineRule="auto"/>
        <w:jc w:val="center"/>
        <w:rPr>
          <w:rFonts w:asciiTheme="minorHAnsi" w:eastAsia="Calibri" w:hAnsiTheme="minorHAnsi" w:cs="Calibri"/>
          <w:b/>
          <w:bCs/>
          <w:color w:val="212121"/>
        </w:rPr>
      </w:pPr>
      <w:r w:rsidRPr="000C081F">
        <w:rPr>
          <w:rFonts w:asciiTheme="minorHAnsi" w:eastAsia="Calibri" w:hAnsiTheme="minorHAnsi" w:cs="Calibri"/>
          <w:b/>
          <w:bCs/>
          <w:color w:val="212121"/>
        </w:rPr>
        <w:t>Auckland Museum</w:t>
      </w:r>
      <w:r w:rsidR="00263B53" w:rsidRPr="000C081F">
        <w:rPr>
          <w:rFonts w:asciiTheme="minorHAnsi" w:eastAsia="Calibri" w:hAnsiTheme="minorHAnsi" w:cs="Calibri"/>
          <w:b/>
          <w:bCs/>
          <w:color w:val="212121"/>
        </w:rPr>
        <w:t xml:space="preserve"> Royal Society</w:t>
      </w:r>
      <w:r w:rsidRPr="000C081F">
        <w:rPr>
          <w:rFonts w:asciiTheme="minorHAnsi" w:eastAsia="Calibri" w:hAnsiTheme="minorHAnsi" w:cs="Calibri"/>
          <w:b/>
          <w:bCs/>
          <w:color w:val="212121"/>
        </w:rPr>
        <w:t xml:space="preserve"> </w:t>
      </w:r>
      <w:r w:rsidRPr="000C081F">
        <w:rPr>
          <w:rFonts w:asciiTheme="minorHAnsi" w:eastAsia="Calibri" w:hAnsiTheme="minorHAnsi" w:cs="Calibri"/>
          <w:b/>
          <w:bCs/>
          <w:i/>
          <w:iCs/>
          <w:color w:val="212121"/>
        </w:rPr>
        <w:t>Humanities Lecture</w:t>
      </w:r>
    </w:p>
    <w:p w14:paraId="08F9DB3F" w14:textId="77777777" w:rsidR="000440DB" w:rsidRPr="000C081F" w:rsidRDefault="000440DB" w:rsidP="00663D17">
      <w:pPr>
        <w:spacing w:line="360" w:lineRule="auto"/>
        <w:jc w:val="center"/>
        <w:rPr>
          <w:rFonts w:asciiTheme="minorHAnsi" w:eastAsia="Calibri" w:hAnsiTheme="minorHAnsi" w:cs="Calibri"/>
          <w:b/>
          <w:bCs/>
          <w:color w:val="212121"/>
        </w:rPr>
      </w:pPr>
      <w:r w:rsidRPr="000C081F">
        <w:rPr>
          <w:rFonts w:asciiTheme="minorHAnsi" w:eastAsia="Calibri" w:hAnsiTheme="minorHAnsi" w:cs="Calibri"/>
          <w:b/>
          <w:bCs/>
          <w:color w:val="212121"/>
        </w:rPr>
        <w:t>20 August 2024</w:t>
      </w:r>
    </w:p>
    <w:p w14:paraId="0A3F9B90" w14:textId="77777777" w:rsidR="000440DB" w:rsidRPr="000C081F" w:rsidRDefault="000440DB" w:rsidP="00663D17">
      <w:pPr>
        <w:spacing w:line="360" w:lineRule="auto"/>
        <w:rPr>
          <w:rFonts w:asciiTheme="minorHAnsi" w:eastAsia="Calibri" w:hAnsiTheme="minorHAnsi" w:cs="Calibri"/>
          <w:color w:val="000000"/>
        </w:rPr>
      </w:pPr>
    </w:p>
    <w:p w14:paraId="5A9D602F" w14:textId="77777777" w:rsidR="007810B4" w:rsidRPr="000C081F" w:rsidRDefault="007810B4" w:rsidP="00663D17">
      <w:pPr>
        <w:spacing w:line="360" w:lineRule="auto"/>
        <w:jc w:val="center"/>
        <w:rPr>
          <w:rFonts w:asciiTheme="minorHAnsi" w:eastAsia="Calibri" w:hAnsiTheme="minorHAnsi" w:cs="Calibri"/>
          <w:color w:val="000000"/>
        </w:rPr>
      </w:pPr>
      <w:r w:rsidRPr="000C081F">
        <w:rPr>
          <w:rFonts w:asciiTheme="minorHAnsi" w:eastAsia="Calibri" w:hAnsiTheme="minorHAnsi" w:cs="Calibri"/>
          <w:color w:val="000000"/>
        </w:rPr>
        <w:t>Professor Claire Charters</w:t>
      </w:r>
    </w:p>
    <w:p w14:paraId="627FE07C" w14:textId="77777777" w:rsidR="007810B4" w:rsidRPr="000C081F" w:rsidRDefault="007810B4" w:rsidP="00663D17">
      <w:pPr>
        <w:spacing w:line="360" w:lineRule="auto"/>
        <w:jc w:val="center"/>
        <w:rPr>
          <w:rFonts w:asciiTheme="minorHAnsi" w:eastAsia="Calibri" w:hAnsiTheme="minorHAnsi" w:cs="Calibri"/>
          <w:color w:val="000000"/>
        </w:rPr>
      </w:pPr>
      <w:r w:rsidRPr="000C081F">
        <w:rPr>
          <w:rFonts w:asciiTheme="minorHAnsi" w:eastAsia="Calibri" w:hAnsiTheme="minorHAnsi" w:cs="Calibri"/>
          <w:color w:val="000000"/>
        </w:rPr>
        <w:t>University of Auckland</w:t>
      </w:r>
    </w:p>
    <w:p w14:paraId="17142ECB" w14:textId="77777777" w:rsidR="007810B4" w:rsidRPr="000C081F" w:rsidRDefault="007810B4" w:rsidP="00663D17">
      <w:pPr>
        <w:spacing w:line="360" w:lineRule="auto"/>
        <w:rPr>
          <w:rFonts w:asciiTheme="minorHAnsi" w:eastAsia="Calibri" w:hAnsiTheme="minorHAnsi" w:cs="Calibri"/>
          <w:color w:val="212121"/>
        </w:rPr>
      </w:pPr>
    </w:p>
    <w:p w14:paraId="7C53CF87" w14:textId="77777777" w:rsidR="007810B4" w:rsidRPr="000C081F" w:rsidRDefault="007810B4" w:rsidP="00663D17">
      <w:pPr>
        <w:spacing w:line="360" w:lineRule="auto"/>
        <w:rPr>
          <w:rFonts w:asciiTheme="minorHAnsi" w:eastAsia="Calibri" w:hAnsiTheme="minorHAnsi" w:cs="Calibri"/>
          <w:b/>
          <w:color w:val="212121"/>
        </w:rPr>
      </w:pPr>
    </w:p>
    <w:p w14:paraId="702BFA9B" w14:textId="68BBCCEB" w:rsidR="007810B4" w:rsidRPr="000C081F" w:rsidRDefault="00DF107A" w:rsidP="009F7A97">
      <w:pPr>
        <w:pStyle w:val="Heading1"/>
      </w:pPr>
      <w:r w:rsidRPr="000C081F">
        <w:rPr>
          <w:sz w:val="24"/>
          <w:szCs w:val="24"/>
        </w:rPr>
        <w:t xml:space="preserve">I </w:t>
      </w:r>
      <w:r w:rsidR="00DD5D12" w:rsidRPr="000C081F">
        <w:rPr>
          <w:sz w:val="24"/>
          <w:szCs w:val="24"/>
        </w:rPr>
        <w:t>Introduction</w:t>
      </w:r>
    </w:p>
    <w:p w14:paraId="5A3F2528" w14:textId="77777777" w:rsidR="00DD5D12" w:rsidRPr="000C081F" w:rsidRDefault="00DD5D12" w:rsidP="00663D17">
      <w:pPr>
        <w:spacing w:line="360" w:lineRule="auto"/>
        <w:rPr>
          <w:rFonts w:asciiTheme="minorHAnsi" w:eastAsia="Calibri" w:hAnsiTheme="minorHAnsi" w:cs="Calibri"/>
          <w:color w:val="212121"/>
        </w:rPr>
      </w:pPr>
    </w:p>
    <w:p w14:paraId="6239F954" w14:textId="6B1E6B51" w:rsidR="007810B4" w:rsidRPr="000C081F" w:rsidRDefault="007810B4" w:rsidP="00663D17">
      <w:pPr>
        <w:spacing w:line="360" w:lineRule="auto"/>
        <w:rPr>
          <w:rFonts w:asciiTheme="minorHAnsi" w:eastAsia="Calibri" w:hAnsiTheme="minorHAnsi" w:cs="Calibri"/>
          <w:color w:val="212121"/>
        </w:rPr>
      </w:pPr>
      <w:r w:rsidRPr="000C081F">
        <w:rPr>
          <w:rFonts w:asciiTheme="minorHAnsi" w:eastAsia="Calibri" w:hAnsiTheme="minorHAnsi" w:cs="Calibri"/>
          <w:color w:val="212121"/>
        </w:rPr>
        <w:t>In recent years</w:t>
      </w:r>
      <w:r w:rsidR="00F037F5" w:rsidRPr="000C081F">
        <w:rPr>
          <w:rFonts w:asciiTheme="minorHAnsi" w:eastAsia="Calibri" w:hAnsiTheme="minorHAnsi" w:cs="Calibri"/>
          <w:color w:val="212121"/>
        </w:rPr>
        <w:t>,</w:t>
      </w:r>
      <w:r w:rsidRPr="000C081F">
        <w:rPr>
          <w:rFonts w:asciiTheme="minorHAnsi" w:eastAsia="Calibri" w:hAnsiTheme="minorHAnsi" w:cs="Calibri"/>
          <w:color w:val="212121"/>
        </w:rPr>
        <w:t xml:space="preserve"> </w:t>
      </w:r>
      <w:r w:rsidR="006102CF" w:rsidRPr="000C081F">
        <w:rPr>
          <w:rFonts w:asciiTheme="minorHAnsi" w:eastAsia="Calibri" w:hAnsiTheme="minorHAnsi" w:cs="Calibri"/>
          <w:color w:val="212121"/>
        </w:rPr>
        <w:t xml:space="preserve">Aotearoa </w:t>
      </w:r>
      <w:r w:rsidRPr="000C081F">
        <w:rPr>
          <w:rFonts w:asciiTheme="minorHAnsi" w:eastAsia="Calibri" w:hAnsiTheme="minorHAnsi" w:cs="Calibri"/>
          <w:color w:val="212121"/>
        </w:rPr>
        <w:t xml:space="preserve">New Zealand courts and Parliament have </w:t>
      </w:r>
      <w:r w:rsidR="009F7A97" w:rsidRPr="000C081F">
        <w:rPr>
          <w:rFonts w:asciiTheme="minorHAnsi" w:eastAsia="Calibri" w:hAnsiTheme="minorHAnsi" w:cs="Calibri"/>
          <w:color w:val="212121"/>
        </w:rPr>
        <w:t xml:space="preserve">increasingly </w:t>
      </w:r>
      <w:r w:rsidRPr="000C081F">
        <w:rPr>
          <w:rFonts w:asciiTheme="minorHAnsi" w:eastAsia="Calibri" w:hAnsiTheme="minorHAnsi" w:cs="Calibri"/>
          <w:color w:val="212121"/>
        </w:rPr>
        <w:t xml:space="preserve">incorporated tikanga Māori into </w:t>
      </w:r>
      <w:r w:rsidR="006102CF" w:rsidRPr="000C081F">
        <w:rPr>
          <w:rFonts w:asciiTheme="minorHAnsi" w:eastAsia="Calibri" w:hAnsiTheme="minorHAnsi" w:cs="Calibri"/>
          <w:color w:val="212121"/>
        </w:rPr>
        <w:t xml:space="preserve">Aotearoa </w:t>
      </w:r>
      <w:r w:rsidRPr="000C081F">
        <w:rPr>
          <w:rFonts w:asciiTheme="minorHAnsi" w:eastAsia="Calibri" w:hAnsiTheme="minorHAnsi" w:cs="Calibri"/>
          <w:color w:val="212121"/>
        </w:rPr>
        <w:t xml:space="preserve">New Zealand’s </w:t>
      </w:r>
      <w:r w:rsidR="009F7A97" w:rsidRPr="000C081F">
        <w:rPr>
          <w:rFonts w:asciiTheme="minorHAnsi" w:eastAsia="Calibri" w:hAnsiTheme="minorHAnsi" w:cs="Calibri"/>
          <w:color w:val="212121"/>
        </w:rPr>
        <w:t>law</w:t>
      </w:r>
      <w:r w:rsidRPr="000C081F">
        <w:rPr>
          <w:rFonts w:asciiTheme="minorHAnsi" w:eastAsia="Calibri" w:hAnsiTheme="minorHAnsi" w:cs="Calibri"/>
          <w:color w:val="212121"/>
        </w:rPr>
        <w:t xml:space="preserve">. </w:t>
      </w:r>
    </w:p>
    <w:p w14:paraId="651EF071" w14:textId="77777777" w:rsidR="007810B4" w:rsidRPr="000C081F" w:rsidRDefault="007810B4" w:rsidP="00663D17">
      <w:pPr>
        <w:spacing w:line="360" w:lineRule="auto"/>
        <w:rPr>
          <w:rFonts w:asciiTheme="minorHAnsi" w:eastAsia="Calibri" w:hAnsiTheme="minorHAnsi" w:cs="Calibri"/>
          <w:color w:val="212121"/>
        </w:rPr>
      </w:pPr>
    </w:p>
    <w:p w14:paraId="29162C77" w14:textId="60E68502" w:rsidR="007810B4" w:rsidRPr="000C081F" w:rsidRDefault="007810B4" w:rsidP="00663D17">
      <w:pPr>
        <w:spacing w:line="360" w:lineRule="auto"/>
        <w:rPr>
          <w:rFonts w:asciiTheme="minorHAnsi" w:eastAsia="Calibri" w:hAnsiTheme="minorHAnsi" w:cs="Calibri"/>
          <w:color w:val="212121"/>
        </w:rPr>
      </w:pPr>
      <w:r w:rsidRPr="000C081F">
        <w:rPr>
          <w:rFonts w:asciiTheme="minorHAnsi" w:eastAsia="Calibri" w:hAnsiTheme="minorHAnsi" w:cs="Calibri"/>
          <w:color w:val="212121"/>
        </w:rPr>
        <w:t xml:space="preserve">The question I address here is whether </w:t>
      </w:r>
      <w:r w:rsidR="009F7A97" w:rsidRPr="000C081F">
        <w:rPr>
          <w:rFonts w:asciiTheme="minorHAnsi" w:eastAsia="Calibri" w:hAnsiTheme="minorHAnsi" w:cs="Calibri"/>
          <w:color w:val="212121"/>
        </w:rPr>
        <w:t>incorporation of tikanga</w:t>
      </w:r>
      <w:r w:rsidRPr="000C081F">
        <w:rPr>
          <w:rFonts w:asciiTheme="minorHAnsi" w:eastAsia="Calibri" w:hAnsiTheme="minorHAnsi" w:cs="Calibri"/>
          <w:color w:val="212121"/>
        </w:rPr>
        <w:t xml:space="preserve"> amounts to recognition and realisation of Māori self-determination under international law</w:t>
      </w:r>
      <w:r w:rsidR="00F037F5" w:rsidRPr="000C081F">
        <w:rPr>
          <w:rFonts w:asciiTheme="minorHAnsi" w:eastAsia="Calibri" w:hAnsiTheme="minorHAnsi" w:cs="Calibri"/>
          <w:color w:val="212121"/>
        </w:rPr>
        <w:t>,</w:t>
      </w:r>
      <w:r w:rsidRPr="000C081F">
        <w:rPr>
          <w:rFonts w:asciiTheme="minorHAnsi" w:eastAsia="Calibri" w:hAnsiTheme="minorHAnsi" w:cs="Calibri"/>
          <w:color w:val="212121"/>
        </w:rPr>
        <w:t xml:space="preserve"> and </w:t>
      </w:r>
      <w:proofErr w:type="spellStart"/>
      <w:r w:rsidRPr="000C081F">
        <w:rPr>
          <w:rFonts w:asciiTheme="minorHAnsi" w:eastAsia="Calibri" w:hAnsiTheme="minorHAnsi" w:cs="Calibri"/>
          <w:color w:val="212121"/>
        </w:rPr>
        <w:t>tino</w:t>
      </w:r>
      <w:proofErr w:type="spellEnd"/>
      <w:r w:rsidRPr="000C081F">
        <w:rPr>
          <w:rFonts w:asciiTheme="minorHAnsi" w:eastAsia="Calibri" w:hAnsiTheme="minorHAnsi" w:cs="Calibri"/>
          <w:color w:val="212121"/>
        </w:rPr>
        <w:t xml:space="preserve"> rangatiratanga under </w:t>
      </w:r>
      <w:proofErr w:type="spellStart"/>
      <w:r w:rsidRPr="000C081F">
        <w:rPr>
          <w:rFonts w:asciiTheme="minorHAnsi" w:eastAsia="Calibri" w:hAnsiTheme="minorHAnsi" w:cs="Calibri"/>
          <w:color w:val="212121"/>
        </w:rPr>
        <w:t>te</w:t>
      </w:r>
      <w:proofErr w:type="spellEnd"/>
      <w:r w:rsidRPr="000C081F">
        <w:rPr>
          <w:rFonts w:asciiTheme="minorHAnsi" w:eastAsia="Calibri" w:hAnsiTheme="minorHAnsi" w:cs="Calibri"/>
          <w:color w:val="212121"/>
        </w:rPr>
        <w:t xml:space="preserve"> Tiriti o Waitangi. I </w:t>
      </w:r>
      <w:r w:rsidR="00D7384D" w:rsidRPr="000C081F">
        <w:rPr>
          <w:rFonts w:asciiTheme="minorHAnsi" w:eastAsia="Calibri" w:hAnsiTheme="minorHAnsi" w:cs="Calibri"/>
          <w:color w:val="212121"/>
        </w:rPr>
        <w:t>consider</w:t>
      </w:r>
      <w:r w:rsidRPr="000C081F">
        <w:rPr>
          <w:rFonts w:asciiTheme="minorHAnsi" w:eastAsia="Calibri" w:hAnsiTheme="minorHAnsi" w:cs="Calibri"/>
          <w:color w:val="212121"/>
        </w:rPr>
        <w:t xml:space="preserve"> theory on legal pluralism </w:t>
      </w:r>
      <w:r w:rsidR="00025F85" w:rsidRPr="000C081F">
        <w:rPr>
          <w:rFonts w:asciiTheme="minorHAnsi" w:eastAsia="Calibri" w:hAnsiTheme="minorHAnsi" w:cs="Calibri"/>
          <w:color w:val="212121"/>
        </w:rPr>
        <w:t xml:space="preserve">and compare this development with recognition of Indigenous peoples’ </w:t>
      </w:r>
      <w:r w:rsidRPr="000C081F">
        <w:rPr>
          <w:rFonts w:asciiTheme="minorHAnsi" w:eastAsia="Calibri" w:hAnsiTheme="minorHAnsi" w:cs="Calibri"/>
          <w:color w:val="212121"/>
        </w:rPr>
        <w:t xml:space="preserve">legal systems </w:t>
      </w:r>
      <w:r w:rsidR="00025F85" w:rsidRPr="000C081F">
        <w:rPr>
          <w:rFonts w:asciiTheme="minorHAnsi" w:eastAsia="Calibri" w:hAnsiTheme="minorHAnsi" w:cs="Calibri"/>
          <w:color w:val="212121"/>
        </w:rPr>
        <w:t>in other states</w:t>
      </w:r>
      <w:r w:rsidRPr="000C081F">
        <w:rPr>
          <w:rFonts w:asciiTheme="minorHAnsi" w:eastAsia="Calibri" w:hAnsiTheme="minorHAnsi" w:cs="Calibri"/>
          <w:color w:val="212121"/>
        </w:rPr>
        <w:t>.</w:t>
      </w:r>
      <w:r w:rsidR="00025F85" w:rsidRPr="000C081F">
        <w:rPr>
          <w:rFonts w:asciiTheme="minorHAnsi" w:eastAsia="Calibri" w:hAnsiTheme="minorHAnsi" w:cs="Calibri"/>
          <w:color w:val="212121"/>
        </w:rPr>
        <w:t xml:space="preserve"> Expressed in another way, </w:t>
      </w:r>
      <w:r w:rsidRPr="000C081F">
        <w:rPr>
          <w:rFonts w:asciiTheme="minorHAnsi" w:eastAsia="Calibri" w:hAnsiTheme="minorHAnsi" w:cs="Calibri"/>
          <w:color w:val="212121"/>
        </w:rPr>
        <w:t xml:space="preserve">I take a deeper dive into developing </w:t>
      </w:r>
      <w:r w:rsidR="006102CF" w:rsidRPr="000C081F">
        <w:rPr>
          <w:rFonts w:asciiTheme="minorHAnsi" w:eastAsia="Calibri" w:hAnsiTheme="minorHAnsi" w:cs="Calibri"/>
          <w:color w:val="212121"/>
        </w:rPr>
        <w:t xml:space="preserve">Aotearoa </w:t>
      </w:r>
      <w:r w:rsidRPr="000C081F">
        <w:rPr>
          <w:rFonts w:asciiTheme="minorHAnsi" w:eastAsia="Calibri" w:hAnsiTheme="minorHAnsi" w:cs="Calibri"/>
          <w:color w:val="212121"/>
        </w:rPr>
        <w:t>New Zealand law on tikanga Māor</w:t>
      </w:r>
      <w:r w:rsidR="00025F85" w:rsidRPr="000C081F">
        <w:rPr>
          <w:rFonts w:asciiTheme="minorHAnsi" w:eastAsia="Calibri" w:hAnsiTheme="minorHAnsi" w:cs="Calibri"/>
          <w:color w:val="212121"/>
        </w:rPr>
        <w:t>i</w:t>
      </w:r>
      <w:r w:rsidRPr="000C081F">
        <w:rPr>
          <w:rFonts w:asciiTheme="minorHAnsi" w:eastAsia="Calibri" w:hAnsiTheme="minorHAnsi" w:cs="Calibri"/>
          <w:color w:val="212121"/>
        </w:rPr>
        <w:t xml:space="preserve"> to assess how it might realise Māori aspirations to self-determination, considering also how </w:t>
      </w:r>
      <w:r w:rsidR="006102CF" w:rsidRPr="000C081F">
        <w:rPr>
          <w:rFonts w:asciiTheme="minorHAnsi" w:eastAsia="Calibri" w:hAnsiTheme="minorHAnsi" w:cs="Calibri"/>
          <w:color w:val="212121"/>
        </w:rPr>
        <w:t xml:space="preserve">Aotearoa </w:t>
      </w:r>
      <w:r w:rsidRPr="000C081F">
        <w:rPr>
          <w:rFonts w:asciiTheme="minorHAnsi" w:eastAsia="Calibri" w:hAnsiTheme="minorHAnsi" w:cs="Calibri"/>
          <w:color w:val="212121"/>
        </w:rPr>
        <w:t xml:space="preserve">New Zealand compares with other models of Indigenous peoples’ self-determination.  </w:t>
      </w:r>
    </w:p>
    <w:p w14:paraId="52B48D79" w14:textId="77777777" w:rsidR="007810B4" w:rsidRPr="000C081F" w:rsidRDefault="007810B4" w:rsidP="00663D17">
      <w:pPr>
        <w:spacing w:line="360" w:lineRule="auto"/>
        <w:rPr>
          <w:rFonts w:asciiTheme="minorHAnsi" w:eastAsia="Calibri" w:hAnsiTheme="minorHAnsi" w:cs="Calibri"/>
          <w:color w:val="212121"/>
        </w:rPr>
      </w:pPr>
    </w:p>
    <w:p w14:paraId="73A4364B" w14:textId="2B0CE3E5" w:rsidR="007810B4" w:rsidRPr="000C081F" w:rsidRDefault="006102CF" w:rsidP="00663D17">
      <w:pPr>
        <w:spacing w:line="360" w:lineRule="auto"/>
        <w:rPr>
          <w:rFonts w:asciiTheme="minorHAnsi" w:eastAsia="Calibri" w:hAnsiTheme="minorHAnsi" w:cs="Calibri"/>
          <w:color w:val="212121"/>
        </w:rPr>
      </w:pPr>
      <w:r w:rsidRPr="000C081F">
        <w:rPr>
          <w:rFonts w:asciiTheme="minorHAnsi" w:eastAsia="Calibri" w:hAnsiTheme="minorHAnsi" w:cs="Calibri"/>
          <w:color w:val="212121"/>
        </w:rPr>
        <w:t xml:space="preserve">Aotearoa </w:t>
      </w:r>
      <w:r w:rsidR="007810B4" w:rsidRPr="000C081F">
        <w:rPr>
          <w:rFonts w:asciiTheme="minorHAnsi" w:eastAsia="Calibri" w:hAnsiTheme="minorHAnsi" w:cs="Calibri"/>
          <w:color w:val="212121"/>
        </w:rPr>
        <w:t>New Zealand adopts an incorporation model of Māori law, where Indigenous law is incorporated into and</w:t>
      </w:r>
      <w:r w:rsidR="00D7384D" w:rsidRPr="000C081F">
        <w:rPr>
          <w:rFonts w:asciiTheme="minorHAnsi" w:eastAsia="Calibri" w:hAnsiTheme="minorHAnsi" w:cs="Calibri"/>
          <w:color w:val="212121"/>
        </w:rPr>
        <w:t xml:space="preserve"> then</w:t>
      </w:r>
      <w:r w:rsidR="007810B4" w:rsidRPr="000C081F">
        <w:rPr>
          <w:rFonts w:asciiTheme="minorHAnsi" w:eastAsia="Calibri" w:hAnsiTheme="minorHAnsi" w:cs="Calibri"/>
          <w:color w:val="212121"/>
        </w:rPr>
        <w:t xml:space="preserve"> applied </w:t>
      </w:r>
      <w:r w:rsidR="007810B4" w:rsidRPr="000C081F">
        <w:rPr>
          <w:rFonts w:asciiTheme="minorHAnsi" w:eastAsia="Calibri" w:hAnsiTheme="minorHAnsi" w:cs="Calibri"/>
          <w:i/>
          <w:iCs/>
          <w:color w:val="212121"/>
        </w:rPr>
        <w:t>as state law</w:t>
      </w:r>
      <w:r w:rsidR="007810B4" w:rsidRPr="000C081F">
        <w:rPr>
          <w:rFonts w:asciiTheme="minorHAnsi" w:eastAsia="Calibri" w:hAnsiTheme="minorHAnsi" w:cs="Calibri"/>
          <w:color w:val="212121"/>
        </w:rPr>
        <w:t>. It</w:t>
      </w:r>
      <w:r w:rsidR="00D7384D" w:rsidRPr="000C081F">
        <w:rPr>
          <w:rFonts w:asciiTheme="minorHAnsi" w:eastAsia="Calibri" w:hAnsiTheme="minorHAnsi" w:cs="Calibri"/>
          <w:color w:val="212121"/>
        </w:rPr>
        <w:t xml:space="preserve">s reach is personal – it applies to individuals and groups </w:t>
      </w:r>
      <w:r w:rsidR="00263B53" w:rsidRPr="000C081F">
        <w:rPr>
          <w:rFonts w:asciiTheme="minorHAnsi" w:eastAsia="Calibri" w:hAnsiTheme="minorHAnsi" w:cs="Calibri"/>
          <w:color w:val="212121"/>
        </w:rPr>
        <w:t>wherever</w:t>
      </w:r>
      <w:r w:rsidR="00D7384D" w:rsidRPr="000C081F">
        <w:rPr>
          <w:rFonts w:asciiTheme="minorHAnsi" w:eastAsia="Calibri" w:hAnsiTheme="minorHAnsi" w:cs="Calibri"/>
          <w:color w:val="212121"/>
        </w:rPr>
        <w:t xml:space="preserve"> they are situated rather than necessarily over a bounded territory</w:t>
      </w:r>
      <w:r w:rsidR="007810B4" w:rsidRPr="000C081F">
        <w:rPr>
          <w:rFonts w:asciiTheme="minorHAnsi" w:eastAsia="Calibri" w:hAnsiTheme="minorHAnsi" w:cs="Calibri"/>
          <w:color w:val="212121"/>
        </w:rPr>
        <w:t xml:space="preserve">. Many other states, such as </w:t>
      </w:r>
      <w:r w:rsidR="00D7384D" w:rsidRPr="000C081F">
        <w:rPr>
          <w:rFonts w:asciiTheme="minorHAnsi" w:eastAsia="Calibri" w:hAnsiTheme="minorHAnsi" w:cs="Calibri"/>
          <w:color w:val="212121"/>
        </w:rPr>
        <w:t xml:space="preserve">Mexico, </w:t>
      </w:r>
      <w:r w:rsidR="007810B4" w:rsidRPr="000C081F">
        <w:rPr>
          <w:rFonts w:asciiTheme="minorHAnsi" w:eastAsia="Calibri" w:hAnsiTheme="minorHAnsi" w:cs="Calibri"/>
          <w:color w:val="212121"/>
        </w:rPr>
        <w:t xml:space="preserve">Canada and the </w:t>
      </w:r>
      <w:r w:rsidR="00F037F5" w:rsidRPr="000C081F">
        <w:rPr>
          <w:rFonts w:asciiTheme="minorHAnsi" w:eastAsia="Calibri" w:hAnsiTheme="minorHAnsi" w:cs="Calibri"/>
          <w:color w:val="212121"/>
        </w:rPr>
        <w:t>United States</w:t>
      </w:r>
      <w:r w:rsidR="009F7A97" w:rsidRPr="000C081F">
        <w:rPr>
          <w:rFonts w:asciiTheme="minorHAnsi" w:eastAsia="Calibri" w:hAnsiTheme="minorHAnsi" w:cs="Calibri"/>
          <w:color w:val="212121"/>
        </w:rPr>
        <w:t xml:space="preserve"> </w:t>
      </w:r>
      <w:r w:rsidR="007810B4" w:rsidRPr="000C081F">
        <w:rPr>
          <w:rFonts w:asciiTheme="minorHAnsi" w:eastAsia="Calibri" w:hAnsiTheme="minorHAnsi" w:cs="Calibri"/>
          <w:color w:val="212121"/>
        </w:rPr>
        <w:t xml:space="preserve">adopt a territorial model, </w:t>
      </w:r>
      <w:r w:rsidR="00F037F5" w:rsidRPr="000C081F">
        <w:rPr>
          <w:rFonts w:asciiTheme="minorHAnsi" w:eastAsia="Calibri" w:hAnsiTheme="minorHAnsi" w:cs="Calibri"/>
          <w:color w:val="212121"/>
        </w:rPr>
        <w:t xml:space="preserve">where </w:t>
      </w:r>
      <w:r w:rsidR="007810B4" w:rsidRPr="000C081F">
        <w:rPr>
          <w:rFonts w:asciiTheme="minorHAnsi" w:eastAsia="Calibri" w:hAnsiTheme="minorHAnsi" w:cs="Calibri"/>
          <w:color w:val="212121"/>
        </w:rPr>
        <w:t>Indigenous peoples</w:t>
      </w:r>
      <w:r w:rsidR="00E851B3" w:rsidRPr="000C081F">
        <w:rPr>
          <w:rFonts w:asciiTheme="minorHAnsi" w:eastAsia="Calibri" w:hAnsiTheme="minorHAnsi" w:cs="Calibri"/>
          <w:color w:val="212121"/>
        </w:rPr>
        <w:t>’ governance bodies</w:t>
      </w:r>
      <w:r w:rsidR="007810B4" w:rsidRPr="000C081F">
        <w:rPr>
          <w:rFonts w:asciiTheme="minorHAnsi" w:eastAsia="Calibri" w:hAnsiTheme="minorHAnsi" w:cs="Calibri"/>
          <w:color w:val="212121"/>
        </w:rPr>
        <w:t xml:space="preserve"> regulate</w:t>
      </w:r>
      <w:r w:rsidR="00F037F5" w:rsidRPr="000C081F">
        <w:rPr>
          <w:rFonts w:asciiTheme="minorHAnsi" w:eastAsia="Calibri" w:hAnsiTheme="minorHAnsi" w:cs="Calibri"/>
          <w:color w:val="212121"/>
        </w:rPr>
        <w:t xml:space="preserve"> territorial areas</w:t>
      </w:r>
      <w:r w:rsidR="007810B4" w:rsidRPr="000C081F">
        <w:rPr>
          <w:rFonts w:asciiTheme="minorHAnsi" w:eastAsia="Calibri" w:hAnsiTheme="minorHAnsi" w:cs="Calibri"/>
          <w:color w:val="212121"/>
        </w:rPr>
        <w:t xml:space="preserve"> in accordance with their own law – at least to some extent </w:t>
      </w:r>
      <w:r w:rsidR="00F037F5" w:rsidRPr="000C081F">
        <w:rPr>
          <w:rFonts w:asciiTheme="minorHAnsi" w:eastAsia="Calibri" w:hAnsiTheme="minorHAnsi" w:cs="Calibri"/>
          <w:color w:val="212121"/>
        </w:rPr>
        <w:t>–</w:t>
      </w:r>
      <w:r w:rsidR="007810B4" w:rsidRPr="000C081F">
        <w:rPr>
          <w:rFonts w:asciiTheme="minorHAnsi" w:eastAsia="Calibri" w:hAnsiTheme="minorHAnsi" w:cs="Calibri"/>
          <w:color w:val="212121"/>
        </w:rPr>
        <w:t xml:space="preserve"> independently of the state and state law.  </w:t>
      </w:r>
    </w:p>
    <w:p w14:paraId="7DC3C531" w14:textId="77777777" w:rsidR="007810B4" w:rsidRPr="000C081F" w:rsidRDefault="007810B4" w:rsidP="00663D17">
      <w:pPr>
        <w:spacing w:line="360" w:lineRule="auto"/>
        <w:rPr>
          <w:rFonts w:asciiTheme="minorHAnsi" w:eastAsia="Calibri" w:hAnsiTheme="minorHAnsi" w:cs="Calibri"/>
          <w:color w:val="212121"/>
        </w:rPr>
      </w:pPr>
    </w:p>
    <w:p w14:paraId="5A70E2DC" w14:textId="2020EF4F" w:rsidR="007810B4" w:rsidRPr="000C081F" w:rsidRDefault="007810B4"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212121"/>
        </w:rPr>
        <w:t>Ultimately</w:t>
      </w:r>
      <w:r w:rsidR="00D7384D" w:rsidRPr="000C081F">
        <w:rPr>
          <w:rFonts w:asciiTheme="minorHAnsi" w:eastAsia="Calibri" w:hAnsiTheme="minorHAnsi" w:cs="Calibri"/>
          <w:color w:val="212121"/>
        </w:rPr>
        <w:t xml:space="preserve"> and primarily</w:t>
      </w:r>
      <w:r w:rsidRPr="000C081F">
        <w:rPr>
          <w:rFonts w:asciiTheme="minorHAnsi" w:eastAsia="Calibri" w:hAnsiTheme="minorHAnsi" w:cs="Calibri"/>
          <w:color w:val="212121"/>
        </w:rPr>
        <w:t xml:space="preserve">, </w:t>
      </w:r>
      <w:r w:rsidR="00025F85" w:rsidRPr="000C081F">
        <w:rPr>
          <w:rFonts w:asciiTheme="minorHAnsi" w:eastAsia="Calibri" w:hAnsiTheme="minorHAnsi" w:cs="Calibri"/>
          <w:color w:val="212121"/>
        </w:rPr>
        <w:t>I ask</w:t>
      </w:r>
      <w:r w:rsidR="00D7384D" w:rsidRPr="000C081F">
        <w:rPr>
          <w:rFonts w:asciiTheme="minorHAnsi" w:eastAsia="Calibri" w:hAnsiTheme="minorHAnsi" w:cs="Calibri"/>
          <w:color w:val="212121"/>
        </w:rPr>
        <w:t xml:space="preserve"> </w:t>
      </w:r>
      <w:r w:rsidR="00025F85" w:rsidRPr="000C081F">
        <w:rPr>
          <w:rFonts w:asciiTheme="minorHAnsi" w:eastAsia="Calibri" w:hAnsiTheme="minorHAnsi" w:cs="Calibri"/>
          <w:color w:val="212121"/>
        </w:rPr>
        <w:t>in this lecture whether incorporation amounts</w:t>
      </w:r>
      <w:r w:rsidRPr="000C081F">
        <w:rPr>
          <w:rFonts w:asciiTheme="minorHAnsi" w:eastAsia="Calibri" w:hAnsiTheme="minorHAnsi" w:cs="Calibri"/>
          <w:color w:val="212121"/>
        </w:rPr>
        <w:t xml:space="preserve"> to recognition and application of an independent </w:t>
      </w:r>
      <w:r w:rsidR="00ED667B" w:rsidRPr="000C081F">
        <w:rPr>
          <w:rFonts w:asciiTheme="minorHAnsi" w:eastAsia="Calibri" w:hAnsiTheme="minorHAnsi" w:cs="Calibri"/>
          <w:color w:val="212121"/>
        </w:rPr>
        <w:t>(</w:t>
      </w:r>
      <w:r w:rsidRPr="000C081F">
        <w:rPr>
          <w:rFonts w:asciiTheme="minorHAnsi" w:eastAsia="Calibri" w:hAnsiTheme="minorHAnsi" w:cs="Calibri"/>
          <w:color w:val="212121"/>
        </w:rPr>
        <w:t>of the state</w:t>
      </w:r>
      <w:r w:rsidR="00ED667B" w:rsidRPr="000C081F">
        <w:rPr>
          <w:rFonts w:asciiTheme="minorHAnsi" w:eastAsia="Calibri" w:hAnsiTheme="minorHAnsi" w:cs="Calibri"/>
          <w:color w:val="212121"/>
        </w:rPr>
        <w:t>)</w:t>
      </w:r>
      <w:r w:rsidRPr="000C081F">
        <w:rPr>
          <w:rFonts w:asciiTheme="minorHAnsi" w:eastAsia="Calibri" w:hAnsiTheme="minorHAnsi" w:cs="Calibri"/>
          <w:color w:val="212121"/>
        </w:rPr>
        <w:t xml:space="preserve"> legal </w:t>
      </w:r>
      <w:r w:rsidR="00D7384D" w:rsidRPr="000C081F">
        <w:rPr>
          <w:rFonts w:asciiTheme="minorHAnsi" w:eastAsia="Calibri" w:hAnsiTheme="minorHAnsi" w:cs="Calibri"/>
          <w:color w:val="212121"/>
        </w:rPr>
        <w:t>authority</w:t>
      </w:r>
      <w:r w:rsidRPr="000C081F">
        <w:rPr>
          <w:rFonts w:asciiTheme="minorHAnsi" w:eastAsia="Calibri" w:hAnsiTheme="minorHAnsi" w:cs="Calibri"/>
          <w:color w:val="212121"/>
        </w:rPr>
        <w:t xml:space="preserve"> in Aotearoa</w:t>
      </w:r>
      <w:r w:rsidR="009F7A97" w:rsidRPr="000C081F">
        <w:rPr>
          <w:rFonts w:asciiTheme="minorHAnsi" w:eastAsia="Calibri" w:hAnsiTheme="minorHAnsi" w:cs="Calibri"/>
          <w:color w:val="212121"/>
        </w:rPr>
        <w:t xml:space="preserve"> New Zealand</w:t>
      </w:r>
      <w:r w:rsidRPr="000C081F">
        <w:rPr>
          <w:rFonts w:asciiTheme="minorHAnsi" w:eastAsia="Calibri" w:hAnsiTheme="minorHAnsi" w:cs="Calibri"/>
          <w:color w:val="212121"/>
        </w:rPr>
        <w:t>. Or</w:t>
      </w:r>
      <w:r w:rsidR="00BA2C06" w:rsidRPr="000C081F">
        <w:rPr>
          <w:rFonts w:asciiTheme="minorHAnsi" w:eastAsia="Calibri" w:hAnsiTheme="minorHAnsi" w:cs="Calibri"/>
          <w:color w:val="212121"/>
        </w:rPr>
        <w:t xml:space="preserve"> rather</w:t>
      </w:r>
      <w:r w:rsidRPr="000C081F">
        <w:rPr>
          <w:rFonts w:asciiTheme="minorHAnsi" w:eastAsia="Calibri" w:hAnsiTheme="minorHAnsi" w:cs="Calibri"/>
          <w:color w:val="212121"/>
        </w:rPr>
        <w:t xml:space="preserve">, </w:t>
      </w:r>
      <w:r w:rsidR="00025F85" w:rsidRPr="000C081F">
        <w:rPr>
          <w:rFonts w:asciiTheme="minorHAnsi" w:eastAsia="Calibri" w:hAnsiTheme="minorHAnsi" w:cs="Calibri"/>
          <w:color w:val="212121"/>
        </w:rPr>
        <w:t>is</w:t>
      </w:r>
      <w:r w:rsidRPr="000C081F">
        <w:rPr>
          <w:rFonts w:asciiTheme="minorHAnsi" w:eastAsia="Calibri" w:hAnsiTheme="minorHAnsi" w:cs="Calibri"/>
          <w:color w:val="212121"/>
        </w:rPr>
        <w:t xml:space="preserve"> incorporation simply an apology </w:t>
      </w:r>
      <w:r w:rsidRPr="000C081F">
        <w:rPr>
          <w:rFonts w:asciiTheme="minorHAnsi" w:eastAsia="Calibri" w:hAnsiTheme="minorHAnsi" w:cs="Calibri"/>
          <w:color w:val="000000"/>
        </w:rPr>
        <w:t>for ongoing colonisation by state legal systems</w:t>
      </w:r>
      <w:r w:rsidR="00025F85" w:rsidRPr="000C081F">
        <w:rPr>
          <w:rFonts w:asciiTheme="minorHAnsi" w:eastAsia="Calibri" w:hAnsiTheme="minorHAnsi" w:cs="Calibri"/>
          <w:color w:val="000000"/>
        </w:rPr>
        <w:t xml:space="preserve">, </w:t>
      </w:r>
      <w:r w:rsidR="00BA2C06" w:rsidRPr="000C081F">
        <w:rPr>
          <w:rFonts w:asciiTheme="minorHAnsi" w:eastAsia="Calibri" w:hAnsiTheme="minorHAnsi" w:cs="Calibri"/>
          <w:color w:val="000000"/>
        </w:rPr>
        <w:t xml:space="preserve">which </w:t>
      </w:r>
      <w:r w:rsidRPr="000C081F">
        <w:rPr>
          <w:rFonts w:asciiTheme="minorHAnsi" w:eastAsia="Calibri" w:hAnsiTheme="minorHAnsi" w:cs="Calibri"/>
          <w:color w:val="000000"/>
        </w:rPr>
        <w:t>result</w:t>
      </w:r>
      <w:r w:rsidR="00BA2C06" w:rsidRPr="000C081F">
        <w:rPr>
          <w:rFonts w:asciiTheme="minorHAnsi" w:eastAsia="Calibri" w:hAnsiTheme="minorHAnsi" w:cs="Calibri"/>
          <w:color w:val="000000"/>
        </w:rPr>
        <w:t>s</w:t>
      </w:r>
      <w:r w:rsidRPr="000C081F">
        <w:rPr>
          <w:rFonts w:asciiTheme="minorHAnsi" w:eastAsia="Calibri" w:hAnsiTheme="minorHAnsi" w:cs="Calibri"/>
          <w:color w:val="000000"/>
        </w:rPr>
        <w:t xml:space="preserve"> in the distortion and ongoing</w:t>
      </w:r>
      <w:r w:rsidR="00D7384D" w:rsidRPr="000C081F">
        <w:rPr>
          <w:rFonts w:asciiTheme="minorHAnsi" w:eastAsia="Calibri" w:hAnsiTheme="minorHAnsi" w:cs="Calibri"/>
          <w:color w:val="000000"/>
        </w:rPr>
        <w:t xml:space="preserve"> relative</w:t>
      </w:r>
      <w:r w:rsidRPr="000C081F">
        <w:rPr>
          <w:rFonts w:asciiTheme="minorHAnsi" w:eastAsia="Calibri" w:hAnsiTheme="minorHAnsi" w:cs="Calibri"/>
          <w:color w:val="000000"/>
        </w:rPr>
        <w:t xml:space="preserve"> subjugation of Indigenous peoples’ legal systems</w:t>
      </w:r>
      <w:r w:rsidRPr="000C081F">
        <w:rPr>
          <w:rFonts w:asciiTheme="minorHAnsi" w:eastAsia="Calibri" w:hAnsiTheme="minorHAnsi" w:cs="Calibri"/>
        </w:rPr>
        <w:t>.</w:t>
      </w:r>
      <w:r w:rsidRPr="000C081F">
        <w:rPr>
          <w:rFonts w:asciiTheme="minorHAnsi" w:eastAsia="Calibri" w:hAnsiTheme="minorHAnsi" w:cs="Calibri"/>
          <w:color w:val="000000"/>
        </w:rPr>
        <w:t xml:space="preserve"> </w:t>
      </w:r>
    </w:p>
    <w:p w14:paraId="37BBE7B7" w14:textId="77777777" w:rsidR="007810B4" w:rsidRPr="000C081F" w:rsidRDefault="007810B4" w:rsidP="00663D17">
      <w:pPr>
        <w:spacing w:line="360" w:lineRule="auto"/>
        <w:rPr>
          <w:rFonts w:asciiTheme="minorHAnsi" w:eastAsia="Calibri" w:hAnsiTheme="minorHAnsi" w:cs="Calibri"/>
          <w:color w:val="000000" w:themeColor="text1"/>
        </w:rPr>
      </w:pPr>
    </w:p>
    <w:p w14:paraId="3EB5307F" w14:textId="4BF4233C" w:rsidR="007810B4" w:rsidRPr="000C081F" w:rsidRDefault="007810B4" w:rsidP="00663D17">
      <w:pPr>
        <w:spacing w:line="360" w:lineRule="auto"/>
        <w:rPr>
          <w:rFonts w:asciiTheme="minorHAnsi" w:eastAsia="Calibri" w:hAnsiTheme="minorHAnsi" w:cs="Calibri"/>
          <w:color w:val="000000"/>
        </w:rPr>
      </w:pPr>
      <w:r w:rsidRPr="00915B95">
        <w:rPr>
          <w:rFonts w:asciiTheme="minorHAnsi" w:eastAsia="Calibri" w:hAnsiTheme="minorHAnsi" w:cs="Calibri"/>
          <w:color w:val="000000" w:themeColor="text1"/>
        </w:rPr>
        <w:t xml:space="preserve">The </w:t>
      </w:r>
      <w:r w:rsidR="00D7384D" w:rsidRPr="00915B95">
        <w:rPr>
          <w:rFonts w:asciiTheme="minorHAnsi" w:eastAsia="Calibri" w:hAnsiTheme="minorHAnsi" w:cs="Calibri"/>
          <w:color w:val="000000" w:themeColor="text1"/>
        </w:rPr>
        <w:t xml:space="preserve">2012 Supreme Court </w:t>
      </w:r>
      <w:r w:rsidRPr="00915B95">
        <w:rPr>
          <w:rFonts w:asciiTheme="minorHAnsi" w:eastAsia="Calibri" w:hAnsiTheme="minorHAnsi" w:cs="Calibri"/>
          <w:color w:val="000000" w:themeColor="text1"/>
        </w:rPr>
        <w:t>case</w:t>
      </w:r>
      <w:r w:rsidR="00BA2C06" w:rsidRPr="00915B95">
        <w:rPr>
          <w:rFonts w:asciiTheme="minorHAnsi" w:eastAsia="Calibri" w:hAnsiTheme="minorHAnsi" w:cs="Calibri"/>
          <w:color w:val="000000" w:themeColor="text1"/>
        </w:rPr>
        <w:t xml:space="preserve"> of</w:t>
      </w:r>
      <w:r w:rsidRPr="00915B95">
        <w:rPr>
          <w:rFonts w:asciiTheme="minorHAnsi" w:eastAsia="Calibri" w:hAnsiTheme="minorHAnsi" w:cs="Calibri"/>
          <w:color w:val="000000" w:themeColor="text1"/>
        </w:rPr>
        <w:t xml:space="preserve"> </w:t>
      </w:r>
      <w:proofErr w:type="spellStart"/>
      <w:r w:rsidRPr="00FE4298">
        <w:rPr>
          <w:rFonts w:asciiTheme="minorHAnsi" w:eastAsia="Calibri" w:hAnsiTheme="minorHAnsi" w:cs="Calibri"/>
          <w:i/>
          <w:iCs/>
          <w:color w:val="000000" w:themeColor="text1"/>
        </w:rPr>
        <w:t>Takamore</w:t>
      </w:r>
      <w:proofErr w:type="spellEnd"/>
      <w:r w:rsidRPr="00FE4298">
        <w:rPr>
          <w:rFonts w:asciiTheme="minorHAnsi" w:eastAsia="Calibri" w:hAnsiTheme="minorHAnsi" w:cs="Calibri"/>
          <w:i/>
          <w:iCs/>
          <w:color w:val="000000" w:themeColor="text1"/>
        </w:rPr>
        <w:t xml:space="preserve"> v Clarke</w:t>
      </w:r>
      <w:r w:rsidRPr="00915B95">
        <w:rPr>
          <w:rFonts w:asciiTheme="minorHAnsi" w:eastAsia="Calibri" w:hAnsiTheme="minorHAnsi" w:cs="Calibri"/>
          <w:color w:val="000000" w:themeColor="text1"/>
        </w:rPr>
        <w:t xml:space="preserve"> is an example of the incorporation model.</w:t>
      </w:r>
      <w:r w:rsidRPr="00915B95">
        <w:rPr>
          <w:vertAlign w:val="superscript"/>
        </w:rPr>
        <w:footnoteReference w:id="1"/>
      </w:r>
      <w:r w:rsidRPr="00915B95">
        <w:rPr>
          <w:rFonts w:asciiTheme="minorHAnsi" w:eastAsia="Calibri" w:hAnsiTheme="minorHAnsi" w:cs="Calibri"/>
          <w:color w:val="000000" w:themeColor="text1"/>
        </w:rPr>
        <w:t xml:space="preserve"> </w:t>
      </w:r>
      <w:r w:rsidR="006102CF" w:rsidRPr="00915B95">
        <w:rPr>
          <w:rFonts w:asciiTheme="minorHAnsi" w:eastAsia="Calibri" w:hAnsiTheme="minorHAnsi" w:cs="Calibri"/>
          <w:color w:val="000000" w:themeColor="text1"/>
        </w:rPr>
        <w:t xml:space="preserve">Aotearoa </w:t>
      </w:r>
      <w:r w:rsidRPr="00915B95">
        <w:rPr>
          <w:rFonts w:asciiTheme="minorHAnsi" w:eastAsia="Calibri" w:hAnsiTheme="minorHAnsi" w:cs="Calibri"/>
          <w:color w:val="000000" w:themeColor="text1"/>
        </w:rPr>
        <w:t>New Zealand’s</w:t>
      </w:r>
      <w:r w:rsidRPr="000C081F">
        <w:rPr>
          <w:rFonts w:asciiTheme="minorHAnsi" w:eastAsia="Calibri" w:hAnsiTheme="minorHAnsi" w:cs="Calibri"/>
          <w:color w:val="000000" w:themeColor="text1"/>
        </w:rPr>
        <w:t xml:space="preserve"> highest court</w:t>
      </w:r>
      <w:r w:rsidR="00D7384D" w:rsidRPr="000C081F">
        <w:rPr>
          <w:rFonts w:asciiTheme="minorHAnsi" w:eastAsia="Calibri" w:hAnsiTheme="minorHAnsi" w:cs="Calibri"/>
          <w:color w:val="000000" w:themeColor="text1"/>
        </w:rPr>
        <w:t xml:space="preserve"> </w:t>
      </w:r>
      <w:r w:rsidRPr="000C081F">
        <w:rPr>
          <w:rFonts w:asciiTheme="minorHAnsi" w:eastAsia="Calibri" w:hAnsiTheme="minorHAnsi" w:cs="Calibri"/>
          <w:color w:val="000000" w:themeColor="text1"/>
        </w:rPr>
        <w:t xml:space="preserve">found that tikanga Māori is </w:t>
      </w:r>
      <w:r w:rsidR="005633DA" w:rsidRPr="000C081F">
        <w:rPr>
          <w:rFonts w:asciiTheme="minorHAnsi" w:eastAsia="Calibri" w:hAnsiTheme="minorHAnsi" w:cs="Calibri"/>
          <w:color w:val="000000" w:themeColor="text1"/>
        </w:rPr>
        <w:t xml:space="preserve">a </w:t>
      </w:r>
      <w:r w:rsidRPr="000C081F">
        <w:rPr>
          <w:rFonts w:asciiTheme="minorHAnsi" w:eastAsia="Calibri" w:hAnsiTheme="minorHAnsi" w:cs="Calibri"/>
          <w:color w:val="000000" w:themeColor="text1"/>
        </w:rPr>
        <w:t>relevant</w:t>
      </w:r>
      <w:r w:rsidR="005633DA" w:rsidRPr="000C081F">
        <w:rPr>
          <w:rFonts w:asciiTheme="minorHAnsi" w:eastAsia="Calibri" w:hAnsiTheme="minorHAnsi" w:cs="Calibri"/>
          <w:color w:val="000000" w:themeColor="text1"/>
        </w:rPr>
        <w:t xml:space="preserve"> factor</w:t>
      </w:r>
      <w:r w:rsidR="00025F85" w:rsidRPr="000C081F">
        <w:rPr>
          <w:rFonts w:asciiTheme="minorHAnsi" w:eastAsia="Calibri" w:hAnsiTheme="minorHAnsi" w:cs="Calibri"/>
          <w:color w:val="000000" w:themeColor="text1"/>
        </w:rPr>
        <w:t>, under common law,</w:t>
      </w:r>
      <w:r w:rsidRPr="000C081F">
        <w:rPr>
          <w:rFonts w:asciiTheme="minorHAnsi" w:eastAsia="Calibri" w:hAnsiTheme="minorHAnsi" w:cs="Calibri"/>
          <w:color w:val="000000" w:themeColor="text1"/>
        </w:rPr>
        <w:t xml:space="preserve"> </w:t>
      </w:r>
      <w:r w:rsidR="005633DA" w:rsidRPr="000C081F">
        <w:rPr>
          <w:rFonts w:asciiTheme="minorHAnsi" w:eastAsia="Calibri" w:hAnsiTheme="minorHAnsi" w:cs="Calibri"/>
          <w:color w:val="000000" w:themeColor="text1"/>
        </w:rPr>
        <w:t>in</w:t>
      </w:r>
      <w:r w:rsidRPr="000C081F">
        <w:rPr>
          <w:rFonts w:asciiTheme="minorHAnsi" w:eastAsia="Calibri" w:hAnsiTheme="minorHAnsi" w:cs="Calibri"/>
          <w:color w:val="000000" w:themeColor="text1"/>
        </w:rPr>
        <w:t xml:space="preserve"> determining where a person is burie</w:t>
      </w:r>
      <w:r w:rsidR="00025F85" w:rsidRPr="000C081F">
        <w:rPr>
          <w:rFonts w:asciiTheme="minorHAnsi" w:eastAsia="Calibri" w:hAnsiTheme="minorHAnsi" w:cs="Calibri"/>
          <w:color w:val="000000" w:themeColor="text1"/>
        </w:rPr>
        <w:t>d</w:t>
      </w:r>
      <w:r w:rsidRPr="000C081F">
        <w:rPr>
          <w:rFonts w:asciiTheme="minorHAnsi" w:eastAsia="Calibri" w:hAnsiTheme="minorHAnsi" w:cs="Calibri"/>
          <w:color w:val="000000" w:themeColor="text1"/>
        </w:rPr>
        <w:t xml:space="preserve">, contrary to what was assumed to be orthodox state/common law at the time. Under </w:t>
      </w:r>
      <w:r w:rsidR="005633DA" w:rsidRPr="000C081F">
        <w:rPr>
          <w:rFonts w:asciiTheme="minorHAnsi" w:eastAsia="Calibri" w:hAnsiTheme="minorHAnsi" w:cs="Calibri"/>
          <w:color w:val="000000" w:themeColor="text1"/>
        </w:rPr>
        <w:t>the</w:t>
      </w:r>
      <w:r w:rsidRPr="000C081F">
        <w:rPr>
          <w:rFonts w:asciiTheme="minorHAnsi" w:eastAsia="Calibri" w:hAnsiTheme="minorHAnsi" w:cs="Calibri"/>
          <w:color w:val="000000" w:themeColor="text1"/>
        </w:rPr>
        <w:t xml:space="preserve"> </w:t>
      </w:r>
      <w:r w:rsidR="005633DA" w:rsidRPr="000C081F">
        <w:rPr>
          <w:rFonts w:asciiTheme="minorHAnsi" w:eastAsia="Calibri" w:hAnsiTheme="minorHAnsi" w:cs="Calibri"/>
          <w:color w:val="000000" w:themeColor="text1"/>
        </w:rPr>
        <w:t>tikanga of the person who came from the relevant tribal nation</w:t>
      </w:r>
      <w:r w:rsidR="00025F85" w:rsidRPr="000C081F">
        <w:rPr>
          <w:rFonts w:asciiTheme="minorHAnsi" w:eastAsia="Calibri" w:hAnsiTheme="minorHAnsi" w:cs="Calibri"/>
          <w:color w:val="000000" w:themeColor="text1"/>
        </w:rPr>
        <w:t xml:space="preserve">, </w:t>
      </w:r>
      <w:r w:rsidRPr="000C081F">
        <w:rPr>
          <w:rFonts w:asciiTheme="minorHAnsi" w:eastAsia="Calibri" w:hAnsiTheme="minorHAnsi" w:cs="Calibri"/>
          <w:color w:val="000000" w:themeColor="text1"/>
        </w:rPr>
        <w:t xml:space="preserve">a person is </w:t>
      </w:r>
      <w:r w:rsidR="00025F85" w:rsidRPr="000C081F">
        <w:rPr>
          <w:rFonts w:asciiTheme="minorHAnsi" w:eastAsia="Calibri" w:hAnsiTheme="minorHAnsi" w:cs="Calibri"/>
          <w:color w:val="000000" w:themeColor="text1"/>
        </w:rPr>
        <w:t xml:space="preserve">to be </w:t>
      </w:r>
      <w:r w:rsidRPr="000C081F">
        <w:rPr>
          <w:rFonts w:asciiTheme="minorHAnsi" w:eastAsia="Calibri" w:hAnsiTheme="minorHAnsi" w:cs="Calibri"/>
          <w:color w:val="000000" w:themeColor="text1"/>
        </w:rPr>
        <w:t>buried on th</w:t>
      </w:r>
      <w:r w:rsidRPr="000C081F">
        <w:rPr>
          <w:rFonts w:asciiTheme="minorHAnsi" w:eastAsia="Calibri" w:hAnsiTheme="minorHAnsi" w:cs="Calibri"/>
          <w:color w:val="000000"/>
        </w:rPr>
        <w:t xml:space="preserve">eir tribal land. </w:t>
      </w:r>
      <w:r w:rsidRPr="000C081F">
        <w:rPr>
          <w:rFonts w:asciiTheme="minorHAnsi" w:eastAsia="Calibri" w:hAnsiTheme="minorHAnsi" w:cs="Calibri"/>
        </w:rPr>
        <w:t>Th</w:t>
      </w:r>
      <w:r w:rsidR="00025F85" w:rsidRPr="000C081F">
        <w:rPr>
          <w:rFonts w:asciiTheme="minorHAnsi" w:eastAsia="Calibri" w:hAnsiTheme="minorHAnsi" w:cs="Calibri"/>
        </w:rPr>
        <w:t xml:space="preserve">e </w:t>
      </w:r>
      <w:proofErr w:type="spellStart"/>
      <w:r w:rsidR="00025F85" w:rsidRPr="000C081F">
        <w:rPr>
          <w:rFonts w:asciiTheme="minorHAnsi" w:eastAsia="Calibri" w:hAnsiTheme="minorHAnsi" w:cs="Calibri"/>
          <w:i/>
          <w:iCs/>
        </w:rPr>
        <w:t>Takamore</w:t>
      </w:r>
      <w:proofErr w:type="spellEnd"/>
      <w:r w:rsidRPr="000C081F">
        <w:rPr>
          <w:rFonts w:asciiTheme="minorHAnsi" w:eastAsia="Calibri" w:hAnsiTheme="minorHAnsi" w:cs="Calibri"/>
        </w:rPr>
        <w:t xml:space="preserve"> decision</w:t>
      </w:r>
      <w:r w:rsidRPr="000C081F">
        <w:rPr>
          <w:rFonts w:asciiTheme="minorHAnsi" w:eastAsia="Calibri" w:hAnsiTheme="minorHAnsi" w:cs="Calibri"/>
          <w:color w:val="000000"/>
        </w:rPr>
        <w:t xml:space="preserve"> </w:t>
      </w:r>
      <w:r w:rsidR="005633DA" w:rsidRPr="000C081F">
        <w:rPr>
          <w:rFonts w:asciiTheme="minorHAnsi" w:eastAsia="Calibri" w:hAnsiTheme="minorHAnsi" w:cs="Calibri"/>
        </w:rPr>
        <w:t>o</w:t>
      </w:r>
      <w:r w:rsidR="005633DA" w:rsidRPr="000C081F">
        <w:rPr>
          <w:rFonts w:asciiTheme="minorHAnsi" w:eastAsia="Calibri" w:hAnsiTheme="minorHAnsi" w:cs="Calibri"/>
          <w:color w:val="000000"/>
        </w:rPr>
        <w:t>pen</w:t>
      </w:r>
      <w:r w:rsidR="00E476E7" w:rsidRPr="000C081F">
        <w:rPr>
          <w:rFonts w:asciiTheme="minorHAnsi" w:eastAsia="Calibri" w:hAnsiTheme="minorHAnsi" w:cs="Calibri"/>
          <w:color w:val="000000"/>
        </w:rPr>
        <w:t>ed</w:t>
      </w:r>
      <w:r w:rsidRPr="000C081F">
        <w:rPr>
          <w:rFonts w:asciiTheme="minorHAnsi" w:eastAsia="Calibri" w:hAnsiTheme="minorHAnsi" w:cs="Calibri"/>
        </w:rPr>
        <w:t xml:space="preserve"> the possibility</w:t>
      </w:r>
      <w:r w:rsidRPr="000C081F">
        <w:rPr>
          <w:rFonts w:asciiTheme="minorHAnsi" w:eastAsia="Calibri" w:hAnsiTheme="minorHAnsi" w:cs="Calibri"/>
          <w:color w:val="000000"/>
        </w:rPr>
        <w:t xml:space="preserve"> that, within</w:t>
      </w:r>
      <w:r w:rsidR="006102CF" w:rsidRPr="000C081F">
        <w:rPr>
          <w:rFonts w:asciiTheme="minorHAnsi" w:eastAsia="Calibri" w:hAnsiTheme="minorHAnsi" w:cs="Calibri"/>
          <w:color w:val="000000"/>
        </w:rPr>
        <w:t xml:space="preserve"> Aotearoa</w:t>
      </w:r>
      <w:r w:rsidRPr="000C081F">
        <w:rPr>
          <w:rFonts w:asciiTheme="minorHAnsi" w:eastAsia="Calibri" w:hAnsiTheme="minorHAnsi" w:cs="Calibri"/>
          <w:color w:val="000000"/>
        </w:rPr>
        <w:t xml:space="preserve"> New Zealand’s </w:t>
      </w:r>
      <w:r w:rsidR="005633DA" w:rsidRPr="000C081F">
        <w:rPr>
          <w:rFonts w:asciiTheme="minorHAnsi" w:eastAsia="Calibri" w:hAnsiTheme="minorHAnsi" w:cs="Calibri"/>
          <w:color w:val="000000"/>
        </w:rPr>
        <w:t>traditionally exclusively</w:t>
      </w:r>
      <w:r w:rsidR="00E00581" w:rsidRPr="000C081F">
        <w:rPr>
          <w:rFonts w:asciiTheme="minorHAnsi" w:eastAsia="Calibri" w:hAnsiTheme="minorHAnsi" w:cs="Calibri"/>
          <w:color w:val="000000"/>
        </w:rPr>
        <w:t xml:space="preserve"> </w:t>
      </w:r>
      <w:r w:rsidRPr="000C081F">
        <w:rPr>
          <w:rFonts w:asciiTheme="minorHAnsi" w:eastAsia="Calibri" w:hAnsiTheme="minorHAnsi" w:cs="Calibri"/>
        </w:rPr>
        <w:t>mono-legal</w:t>
      </w:r>
      <w:r w:rsidRPr="000C081F">
        <w:rPr>
          <w:rFonts w:asciiTheme="minorHAnsi" w:eastAsia="Calibri" w:hAnsiTheme="minorHAnsi" w:cs="Calibri"/>
          <w:color w:val="000000"/>
        </w:rPr>
        <w:t xml:space="preserve"> system, there are spaces for Māori law to prevail. </w:t>
      </w:r>
    </w:p>
    <w:p w14:paraId="50B7AC03" w14:textId="77777777" w:rsidR="007810B4" w:rsidRPr="00915B95" w:rsidRDefault="007810B4" w:rsidP="00915B95">
      <w:pPr>
        <w:pBdr>
          <w:top w:val="nil"/>
          <w:left w:val="nil"/>
          <w:bottom w:val="nil"/>
          <w:right w:val="nil"/>
          <w:between w:val="nil"/>
        </w:pBdr>
        <w:spacing w:line="360" w:lineRule="auto"/>
        <w:rPr>
          <w:rFonts w:asciiTheme="minorHAnsi" w:eastAsia="Calibri" w:hAnsiTheme="minorHAnsi" w:cs="Calibri"/>
          <w:color w:val="000000"/>
        </w:rPr>
      </w:pPr>
    </w:p>
    <w:p w14:paraId="3C4CD9C4" w14:textId="75F09E9E"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r w:rsidRPr="00915B95">
        <w:rPr>
          <w:rFonts w:asciiTheme="minorHAnsi" w:eastAsia="Calibri" w:hAnsiTheme="minorHAnsi" w:cs="Calibri"/>
          <w:color w:val="000000"/>
        </w:rPr>
        <w:t xml:space="preserve">First, I </w:t>
      </w:r>
      <w:r w:rsidRPr="000C081F">
        <w:rPr>
          <w:rFonts w:asciiTheme="minorHAnsi" w:eastAsia="Calibri" w:hAnsiTheme="minorHAnsi" w:cs="Calibri"/>
          <w:color w:val="000000"/>
        </w:rPr>
        <w:t xml:space="preserve">look at some of the jurisprudential questions that arise in relation to plural legal systems. </w:t>
      </w:r>
      <w:r w:rsidRPr="00915B95">
        <w:rPr>
          <w:rFonts w:asciiTheme="minorHAnsi" w:eastAsia="Calibri" w:hAnsiTheme="minorHAnsi" w:cs="Calibri"/>
          <w:color w:val="000000"/>
        </w:rPr>
        <w:t>Then, I o</w:t>
      </w:r>
      <w:r w:rsidRPr="000C081F">
        <w:rPr>
          <w:rFonts w:asciiTheme="minorHAnsi" w:eastAsia="Calibri" w:hAnsiTheme="minorHAnsi" w:cs="Calibri"/>
          <w:color w:val="000000"/>
        </w:rPr>
        <w:t>utlin</w:t>
      </w:r>
      <w:r w:rsidRPr="00915B95">
        <w:rPr>
          <w:rFonts w:asciiTheme="minorHAnsi" w:eastAsia="Calibri" w:hAnsiTheme="minorHAnsi" w:cs="Calibri"/>
          <w:color w:val="000000"/>
        </w:rPr>
        <w:t>e</w:t>
      </w:r>
      <w:r w:rsidRPr="000C081F">
        <w:rPr>
          <w:rFonts w:asciiTheme="minorHAnsi" w:eastAsia="Calibri" w:hAnsiTheme="minorHAnsi" w:cs="Calibri"/>
          <w:color w:val="000000"/>
        </w:rPr>
        <w:t xml:space="preserve"> models of Indigenous peoples’ self-determination found elsewhere with a focus on independent/territorial sovereign</w:t>
      </w:r>
      <w:r w:rsidR="00477A1E" w:rsidRPr="000C081F">
        <w:rPr>
          <w:rFonts w:asciiTheme="minorHAnsi" w:eastAsia="Calibri" w:hAnsiTheme="minorHAnsi" w:cs="Calibri"/>
          <w:color w:val="000000"/>
        </w:rPr>
        <w:t>ty</w:t>
      </w:r>
      <w:r w:rsidRPr="000C081F">
        <w:rPr>
          <w:rFonts w:asciiTheme="minorHAnsi" w:eastAsia="Calibri" w:hAnsiTheme="minorHAnsi" w:cs="Calibri"/>
          <w:color w:val="000000"/>
        </w:rPr>
        <w:t xml:space="preserve"> models. </w:t>
      </w:r>
      <w:r w:rsidRPr="000C081F">
        <w:rPr>
          <w:rFonts w:asciiTheme="minorHAnsi" w:eastAsia="Calibri" w:hAnsiTheme="minorHAnsi" w:cs="Calibri"/>
        </w:rPr>
        <w:t>From there I a</w:t>
      </w:r>
      <w:r w:rsidRPr="000C081F">
        <w:rPr>
          <w:rFonts w:asciiTheme="minorHAnsi" w:eastAsia="Calibri" w:hAnsiTheme="minorHAnsi" w:cs="Calibri"/>
          <w:color w:val="000000"/>
        </w:rPr>
        <w:t>nalys</w:t>
      </w:r>
      <w:r w:rsidRPr="000C081F">
        <w:rPr>
          <w:rFonts w:asciiTheme="minorHAnsi" w:eastAsia="Calibri" w:hAnsiTheme="minorHAnsi" w:cs="Calibri"/>
        </w:rPr>
        <w:t>e</w:t>
      </w:r>
      <w:r w:rsidRPr="000C081F">
        <w:rPr>
          <w:rFonts w:asciiTheme="minorHAnsi" w:eastAsia="Calibri" w:hAnsiTheme="minorHAnsi" w:cs="Calibri"/>
          <w:color w:val="000000"/>
        </w:rPr>
        <w:t xml:space="preserve"> how, in </w:t>
      </w:r>
      <w:r w:rsidR="006102CF" w:rsidRPr="000C081F">
        <w:rPr>
          <w:rFonts w:asciiTheme="minorHAnsi" w:eastAsia="Calibri" w:hAnsiTheme="minorHAnsi" w:cs="Calibri"/>
          <w:color w:val="000000"/>
        </w:rPr>
        <w:t xml:space="preserve">Aotearoa </w:t>
      </w:r>
      <w:r w:rsidRPr="000C081F">
        <w:rPr>
          <w:rFonts w:asciiTheme="minorHAnsi" w:eastAsia="Calibri" w:hAnsiTheme="minorHAnsi" w:cs="Calibri"/>
          <w:color w:val="000000"/>
        </w:rPr>
        <w:t>New Zealand, Indigenous peoples’ law is increasingly applied by state courts and law-making</w:t>
      </w:r>
      <w:r w:rsidR="00477A1E" w:rsidRPr="000C081F">
        <w:rPr>
          <w:rFonts w:asciiTheme="minorHAnsi" w:eastAsia="Calibri" w:hAnsiTheme="minorHAnsi" w:cs="Calibri"/>
          <w:color w:val="000000"/>
        </w:rPr>
        <w:t xml:space="preserve"> or </w:t>
      </w:r>
      <w:r w:rsidRPr="000C081F">
        <w:rPr>
          <w:rFonts w:asciiTheme="minorHAnsi" w:eastAsia="Calibri" w:hAnsiTheme="minorHAnsi" w:cs="Calibri"/>
          <w:color w:val="000000"/>
        </w:rPr>
        <w:t>regulatory bodies</w:t>
      </w:r>
      <w:r w:rsidR="00477A1E"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the incorporation model</w:t>
      </w:r>
      <w:r w:rsidR="00477A1E" w:rsidRPr="000C081F">
        <w:rPr>
          <w:rFonts w:asciiTheme="minorHAnsi" w:eastAsia="Calibri" w:hAnsiTheme="minorHAnsi" w:cs="Calibri"/>
          <w:color w:val="000000"/>
        </w:rPr>
        <w:t>)</w:t>
      </w:r>
      <w:r w:rsidRPr="000C081F">
        <w:rPr>
          <w:rFonts w:asciiTheme="minorHAnsi" w:eastAsia="Calibri" w:hAnsiTheme="minorHAnsi" w:cs="Calibri"/>
        </w:rPr>
        <w:t>,</w:t>
      </w:r>
      <w:r w:rsidRPr="000C081F">
        <w:rPr>
          <w:rFonts w:asciiTheme="minorHAnsi" w:eastAsia="Calibri" w:hAnsiTheme="minorHAnsi" w:cs="Calibri"/>
          <w:color w:val="000000"/>
        </w:rPr>
        <w:t xml:space="preserve"> while ma</w:t>
      </w:r>
      <w:r w:rsidRPr="000C081F">
        <w:rPr>
          <w:rFonts w:asciiTheme="minorHAnsi" w:eastAsia="Calibri" w:hAnsiTheme="minorHAnsi" w:cs="Calibri"/>
        </w:rPr>
        <w:t xml:space="preserve">king </w:t>
      </w:r>
      <w:r w:rsidRPr="000C081F">
        <w:rPr>
          <w:rFonts w:asciiTheme="minorHAnsi" w:eastAsia="Calibri" w:hAnsiTheme="minorHAnsi" w:cs="Calibri"/>
          <w:color w:val="000000"/>
        </w:rPr>
        <w:t>some comparisons with the independent/territorial sovereign</w:t>
      </w:r>
      <w:r w:rsidR="00477A1E" w:rsidRPr="000C081F">
        <w:rPr>
          <w:rFonts w:asciiTheme="minorHAnsi" w:eastAsia="Calibri" w:hAnsiTheme="minorHAnsi" w:cs="Calibri"/>
          <w:color w:val="000000"/>
        </w:rPr>
        <w:t>ty</w:t>
      </w:r>
      <w:r w:rsidRPr="000C081F">
        <w:rPr>
          <w:rFonts w:asciiTheme="minorHAnsi" w:eastAsia="Calibri" w:hAnsiTheme="minorHAnsi" w:cs="Calibri"/>
          <w:color w:val="000000"/>
        </w:rPr>
        <w:t xml:space="preserve"> model. Finally, </w:t>
      </w:r>
      <w:r w:rsidRPr="000C081F">
        <w:rPr>
          <w:rFonts w:asciiTheme="minorHAnsi" w:eastAsia="Calibri" w:hAnsiTheme="minorHAnsi" w:cs="Calibri"/>
        </w:rPr>
        <w:t>I s</w:t>
      </w:r>
      <w:r w:rsidRPr="000C081F">
        <w:rPr>
          <w:rFonts w:asciiTheme="minorHAnsi" w:eastAsia="Calibri" w:hAnsiTheme="minorHAnsi" w:cs="Calibri"/>
          <w:color w:val="000000"/>
        </w:rPr>
        <w:t>uggest some lessons we might learn f</w:t>
      </w:r>
      <w:r w:rsidRPr="000C081F">
        <w:rPr>
          <w:rFonts w:asciiTheme="minorHAnsi" w:eastAsia="Calibri" w:hAnsiTheme="minorHAnsi" w:cs="Calibri"/>
        </w:rPr>
        <w:t xml:space="preserve">rom all of this, </w:t>
      </w:r>
      <w:r w:rsidRPr="000C081F">
        <w:rPr>
          <w:rFonts w:asciiTheme="minorHAnsi" w:eastAsia="Calibri" w:hAnsiTheme="minorHAnsi" w:cs="Calibri"/>
          <w:color w:val="000000"/>
        </w:rPr>
        <w:t>with potential global significance</w:t>
      </w:r>
      <w:r w:rsidRPr="000C081F">
        <w:rPr>
          <w:rFonts w:asciiTheme="minorHAnsi" w:eastAsia="Calibri" w:hAnsiTheme="minorHAnsi" w:cs="Calibri"/>
        </w:rPr>
        <w:t>.</w:t>
      </w:r>
    </w:p>
    <w:p w14:paraId="6B4B1396" w14:textId="77777777" w:rsidR="007810B4" w:rsidRPr="000C081F" w:rsidRDefault="007810B4" w:rsidP="00663D17">
      <w:pPr>
        <w:spacing w:line="360" w:lineRule="auto"/>
        <w:rPr>
          <w:rFonts w:asciiTheme="minorHAnsi" w:eastAsia="Calibri" w:hAnsiTheme="minorHAnsi" w:cs="Calibri"/>
        </w:rPr>
      </w:pPr>
    </w:p>
    <w:p w14:paraId="3A3B4419" w14:textId="155963FB" w:rsidR="007810B4" w:rsidRPr="000C081F" w:rsidRDefault="00DF107A" w:rsidP="009F7A97">
      <w:pPr>
        <w:pStyle w:val="Heading1"/>
      </w:pPr>
      <w:r w:rsidRPr="000C081F">
        <w:rPr>
          <w:sz w:val="24"/>
          <w:szCs w:val="24"/>
        </w:rPr>
        <w:t xml:space="preserve">II </w:t>
      </w:r>
      <w:r w:rsidR="00DD5D12" w:rsidRPr="000C081F">
        <w:rPr>
          <w:sz w:val="24"/>
          <w:szCs w:val="24"/>
        </w:rPr>
        <w:t>Legal Pluralism</w:t>
      </w:r>
    </w:p>
    <w:p w14:paraId="0EB04E6C" w14:textId="77777777" w:rsidR="007810B4" w:rsidRPr="000C081F" w:rsidRDefault="007810B4" w:rsidP="00663D17">
      <w:pPr>
        <w:spacing w:line="360" w:lineRule="auto"/>
        <w:rPr>
          <w:rFonts w:asciiTheme="minorHAnsi" w:eastAsia="Calibri" w:hAnsiTheme="minorHAnsi" w:cs="Calibri"/>
          <w:color w:val="000000"/>
        </w:rPr>
      </w:pPr>
    </w:p>
    <w:p w14:paraId="14316045" w14:textId="1319F5DF" w:rsidR="007810B4" w:rsidRPr="000C081F" w:rsidRDefault="007810B4"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Theoretical takes on legal pluralism –</w:t>
      </w:r>
      <w:r w:rsidR="00263B53" w:rsidRPr="000C081F">
        <w:rPr>
          <w:rFonts w:asciiTheme="minorHAnsi" w:eastAsia="Calibri" w:hAnsiTheme="minorHAnsi" w:cs="Calibri"/>
          <w:color w:val="000000"/>
        </w:rPr>
        <w:t xml:space="preserve"> </w:t>
      </w:r>
      <w:r w:rsidRPr="00915B95">
        <w:rPr>
          <w:rFonts w:asciiTheme="minorHAnsi" w:eastAsia="Calibri" w:hAnsiTheme="minorHAnsi" w:cs="Calibri"/>
          <w:color w:val="000000"/>
        </w:rPr>
        <w:t>m</w:t>
      </w:r>
      <w:r w:rsidRPr="000C081F">
        <w:rPr>
          <w:rFonts w:asciiTheme="minorHAnsi" w:eastAsia="Calibri" w:hAnsiTheme="minorHAnsi" w:cs="Calibri"/>
          <w:color w:val="000000"/>
        </w:rPr>
        <w:t xml:space="preserve">ultiple legal systems </w:t>
      </w:r>
      <w:r w:rsidR="00025F85" w:rsidRPr="000C081F">
        <w:rPr>
          <w:rFonts w:asciiTheme="minorHAnsi" w:eastAsia="Calibri" w:hAnsiTheme="minorHAnsi" w:cs="Calibri"/>
          <w:color w:val="000000"/>
        </w:rPr>
        <w:t xml:space="preserve">operating </w:t>
      </w:r>
      <w:r w:rsidRPr="000C081F">
        <w:rPr>
          <w:rFonts w:asciiTheme="minorHAnsi" w:eastAsia="Calibri" w:hAnsiTheme="minorHAnsi" w:cs="Calibri"/>
          <w:color w:val="000000"/>
        </w:rPr>
        <w:t xml:space="preserve">within one </w:t>
      </w:r>
      <w:r w:rsidR="00C6354B" w:rsidRPr="000C081F">
        <w:rPr>
          <w:rFonts w:asciiTheme="minorHAnsi" w:eastAsia="Calibri" w:hAnsiTheme="minorHAnsi" w:cs="Calibri"/>
          <w:color w:val="000000"/>
        </w:rPr>
        <w:t xml:space="preserve">territory </w:t>
      </w:r>
      <w:r w:rsidR="0096302F"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can help us assess the effectiveness of state application of Indigenous law</w:t>
      </w:r>
      <w:r w:rsidR="005211FC" w:rsidRPr="000C081F">
        <w:rPr>
          <w:rFonts w:asciiTheme="minorHAnsi" w:eastAsia="Calibri" w:hAnsiTheme="minorHAnsi" w:cs="Calibri"/>
          <w:color w:val="000000"/>
        </w:rPr>
        <w:t xml:space="preserve"> as a</w:t>
      </w:r>
      <w:r w:rsidR="004F6C3C" w:rsidRPr="000C081F">
        <w:rPr>
          <w:rFonts w:asciiTheme="minorHAnsi" w:eastAsia="Calibri" w:hAnsiTheme="minorHAnsi" w:cs="Calibri"/>
          <w:color w:val="000000"/>
        </w:rPr>
        <w:t xml:space="preserve"> tool to realise self-determinatio</w:t>
      </w:r>
      <w:r w:rsidR="004E7E57" w:rsidRPr="000C081F">
        <w:rPr>
          <w:rFonts w:asciiTheme="minorHAnsi" w:eastAsia="Calibri" w:hAnsiTheme="minorHAnsi" w:cs="Calibri"/>
          <w:color w:val="000000"/>
        </w:rPr>
        <w:t>n</w:t>
      </w:r>
      <w:r w:rsidR="00025F85" w:rsidRPr="000C081F">
        <w:rPr>
          <w:rFonts w:asciiTheme="minorHAnsi" w:eastAsia="Calibri" w:hAnsiTheme="minorHAnsi" w:cs="Calibri"/>
          <w:color w:val="000000"/>
        </w:rPr>
        <w:t xml:space="preserve">. It helps us to </w:t>
      </w:r>
      <w:r w:rsidRPr="000C081F">
        <w:rPr>
          <w:rFonts w:asciiTheme="minorHAnsi" w:eastAsia="Calibri" w:hAnsiTheme="minorHAnsi" w:cs="Calibri"/>
          <w:color w:val="000000"/>
        </w:rPr>
        <w:t xml:space="preserve">isolate and understand the questions </w:t>
      </w:r>
      <w:r w:rsidRPr="000C081F">
        <w:rPr>
          <w:rFonts w:asciiTheme="minorHAnsi" w:eastAsia="Calibri" w:hAnsiTheme="minorHAnsi" w:cs="Calibri"/>
          <w:color w:val="000000"/>
        </w:rPr>
        <w:lastRenderedPageBreak/>
        <w:t>we should be asking</w:t>
      </w:r>
      <w:r w:rsidR="004E7E57" w:rsidRPr="000C081F">
        <w:rPr>
          <w:rFonts w:asciiTheme="minorHAnsi" w:eastAsia="Calibri" w:hAnsiTheme="minorHAnsi" w:cs="Calibri"/>
          <w:color w:val="000000"/>
        </w:rPr>
        <w:t xml:space="preserve"> in making such assessments</w:t>
      </w:r>
      <w:r w:rsidRPr="000C081F">
        <w:rPr>
          <w:rFonts w:asciiTheme="minorHAnsi" w:eastAsia="Calibri" w:hAnsiTheme="minorHAnsi" w:cs="Calibri"/>
          <w:color w:val="000000"/>
        </w:rPr>
        <w:t>.</w:t>
      </w:r>
      <w:r w:rsidR="004F6C3C" w:rsidRPr="000C081F">
        <w:rPr>
          <w:rFonts w:asciiTheme="minorHAnsi" w:eastAsia="Calibri" w:hAnsiTheme="minorHAnsi" w:cs="Calibri"/>
          <w:color w:val="000000"/>
        </w:rPr>
        <w:t xml:space="preserve"> For example, </w:t>
      </w:r>
      <w:r w:rsidRPr="000C081F">
        <w:rPr>
          <w:rFonts w:asciiTheme="minorHAnsi" w:eastAsia="Calibri" w:hAnsiTheme="minorHAnsi" w:cs="Calibri"/>
          <w:color w:val="000000"/>
        </w:rPr>
        <w:t>Nicole Roughan</w:t>
      </w:r>
      <w:r w:rsidR="005211FC" w:rsidRPr="000C081F">
        <w:rPr>
          <w:rFonts w:asciiTheme="minorHAnsi" w:eastAsia="Calibri" w:hAnsiTheme="minorHAnsi" w:cs="Calibri"/>
          <w:color w:val="000000"/>
        </w:rPr>
        <w:t xml:space="preserve"> asks</w:t>
      </w:r>
      <w:r w:rsidR="00604127" w:rsidRPr="000C081F">
        <w:rPr>
          <w:rFonts w:asciiTheme="minorHAnsi" w:eastAsia="Calibri" w:hAnsiTheme="minorHAnsi" w:cs="Calibri"/>
          <w:color w:val="000000"/>
        </w:rPr>
        <w:t>, where there are multiple legal authorities co-existing in one juridical space</w:t>
      </w:r>
      <w:r w:rsidRPr="000C081F">
        <w:rPr>
          <w:rFonts w:asciiTheme="minorHAnsi" w:eastAsia="Calibri" w:hAnsiTheme="minorHAnsi" w:cs="Calibri"/>
        </w:rPr>
        <w:t>:</w:t>
      </w:r>
      <w:bookmarkStart w:id="0" w:name="_Ref190948899"/>
      <w:r w:rsidR="005211FC" w:rsidRPr="000C081F">
        <w:rPr>
          <w:rStyle w:val="FootnoteReference"/>
          <w:rFonts w:asciiTheme="minorHAnsi" w:eastAsia="Calibri" w:hAnsiTheme="minorHAnsi" w:cs="Calibri"/>
        </w:rPr>
        <w:footnoteReference w:id="2"/>
      </w:r>
      <w:bookmarkEnd w:id="0"/>
    </w:p>
    <w:p w14:paraId="4546E2C0" w14:textId="77777777" w:rsidR="007810B4" w:rsidRPr="000C081F" w:rsidRDefault="007810B4" w:rsidP="00663D17">
      <w:pPr>
        <w:spacing w:line="360" w:lineRule="auto"/>
        <w:ind w:left="720"/>
        <w:jc w:val="both"/>
        <w:rPr>
          <w:rFonts w:asciiTheme="minorHAnsi" w:eastAsia="Calibri" w:hAnsiTheme="minorHAnsi" w:cs="Calibri"/>
          <w:color w:val="000000"/>
        </w:rPr>
      </w:pPr>
    </w:p>
    <w:p w14:paraId="155CD33B" w14:textId="5276B97E" w:rsidR="007810B4" w:rsidRPr="000C081F" w:rsidRDefault="007810B4" w:rsidP="00663D17">
      <w:pPr>
        <w:spacing w:line="360" w:lineRule="auto"/>
        <w:ind w:left="720"/>
        <w:jc w:val="both"/>
        <w:rPr>
          <w:rFonts w:asciiTheme="minorHAnsi" w:eastAsia="Calibri" w:hAnsiTheme="minorHAnsi" w:cs="Calibri"/>
          <w:color w:val="000000"/>
        </w:rPr>
      </w:pPr>
      <w:r w:rsidRPr="000C081F">
        <w:rPr>
          <w:rFonts w:asciiTheme="minorHAnsi" w:eastAsia="Calibri" w:hAnsiTheme="minorHAnsi" w:cs="Calibri"/>
          <w:color w:val="000000"/>
        </w:rPr>
        <w:t>how do/should they relate to each other? Are denials of the status of legality a kind of injustice? Can denials of that status ever be justified? Can unjustified denials of legality statuses be corrected through new forms and practices of recognition? Can one legal order justifiably use force to override or exclude another, or can they interact as plural authorities?</w:t>
      </w:r>
    </w:p>
    <w:p w14:paraId="2C19CFC2" w14:textId="77777777" w:rsidR="007810B4" w:rsidRPr="000C081F" w:rsidRDefault="007810B4" w:rsidP="00663D17">
      <w:pPr>
        <w:spacing w:line="360" w:lineRule="auto"/>
        <w:jc w:val="both"/>
        <w:rPr>
          <w:rFonts w:asciiTheme="minorHAnsi" w:eastAsia="Calibri" w:hAnsiTheme="minorHAnsi" w:cs="Calibri"/>
          <w:color w:val="000000"/>
        </w:rPr>
      </w:pPr>
    </w:p>
    <w:p w14:paraId="7AEF512D" w14:textId="04562919" w:rsidR="007810B4" w:rsidRPr="000C081F" w:rsidRDefault="007810B4" w:rsidP="00663D17">
      <w:pPr>
        <w:pBdr>
          <w:top w:val="nil"/>
          <w:left w:val="nil"/>
          <w:bottom w:val="nil"/>
          <w:right w:val="nil"/>
          <w:between w:val="nil"/>
        </w:pBdr>
        <w:spacing w:line="360" w:lineRule="auto"/>
        <w:jc w:val="both"/>
        <w:rPr>
          <w:rFonts w:asciiTheme="minorHAnsi" w:eastAsia="Calibri" w:hAnsiTheme="minorHAnsi" w:cs="Calibri"/>
          <w:color w:val="000000"/>
        </w:rPr>
      </w:pPr>
      <w:r w:rsidRPr="000C081F">
        <w:rPr>
          <w:rFonts w:asciiTheme="minorHAnsi" w:eastAsia="Calibri" w:hAnsiTheme="minorHAnsi" w:cs="Calibri"/>
        </w:rPr>
        <w:t>Inequality</w:t>
      </w:r>
      <w:r w:rsidR="004F6C3C" w:rsidRPr="000C081F">
        <w:rPr>
          <w:rFonts w:asciiTheme="minorHAnsi" w:eastAsia="Calibri" w:hAnsiTheme="minorHAnsi" w:cs="Calibri"/>
        </w:rPr>
        <w:t xml:space="preserve"> between legal systems</w:t>
      </w:r>
      <w:r w:rsidRPr="000C081F">
        <w:rPr>
          <w:rFonts w:asciiTheme="minorHAnsi" w:eastAsia="Calibri" w:hAnsiTheme="minorHAnsi" w:cs="Calibri"/>
        </w:rPr>
        <w:t xml:space="preserve"> is created </w:t>
      </w:r>
      <w:r w:rsidR="005211FC" w:rsidRPr="000C081F">
        <w:rPr>
          <w:rFonts w:asciiTheme="minorHAnsi" w:eastAsia="Calibri" w:hAnsiTheme="minorHAnsi" w:cs="Calibri"/>
          <w:color w:val="000000"/>
        </w:rPr>
        <w:t>when</w:t>
      </w:r>
      <w:r w:rsidRPr="000C081F">
        <w:rPr>
          <w:rFonts w:asciiTheme="minorHAnsi" w:eastAsia="Calibri" w:hAnsiTheme="minorHAnsi" w:cs="Calibri"/>
          <w:color w:val="000000"/>
        </w:rPr>
        <w:t xml:space="preserve"> </w:t>
      </w:r>
      <w:r w:rsidR="004F6C3C" w:rsidRPr="000C081F">
        <w:rPr>
          <w:rFonts w:asciiTheme="minorHAnsi" w:eastAsia="Calibri" w:hAnsiTheme="minorHAnsi" w:cs="Calibri"/>
          <w:color w:val="000000"/>
        </w:rPr>
        <w:t>one</w:t>
      </w:r>
      <w:r w:rsidRPr="000C081F">
        <w:rPr>
          <w:rFonts w:asciiTheme="minorHAnsi" w:eastAsia="Calibri" w:hAnsiTheme="minorHAnsi" w:cs="Calibri"/>
          <w:color w:val="000000"/>
        </w:rPr>
        <w:t xml:space="preserve"> </w:t>
      </w:r>
      <w:r w:rsidRPr="000C081F">
        <w:rPr>
          <w:rFonts w:asciiTheme="minorHAnsi" w:eastAsia="Calibri" w:hAnsiTheme="minorHAnsi" w:cs="Calibri"/>
        </w:rPr>
        <w:t>l</w:t>
      </w:r>
      <w:r w:rsidR="004F6C3C" w:rsidRPr="000C081F">
        <w:rPr>
          <w:rFonts w:asciiTheme="minorHAnsi" w:eastAsia="Calibri" w:hAnsiTheme="minorHAnsi" w:cs="Calibri"/>
        </w:rPr>
        <w:t>egal system</w:t>
      </w:r>
      <w:r w:rsidRPr="000C081F">
        <w:rPr>
          <w:rFonts w:asciiTheme="minorHAnsi" w:eastAsia="Calibri" w:hAnsiTheme="minorHAnsi" w:cs="Calibri"/>
        </w:rPr>
        <w:t xml:space="preserve"> is imposed</w:t>
      </w:r>
      <w:r w:rsidRPr="000C081F">
        <w:rPr>
          <w:rFonts w:asciiTheme="minorHAnsi" w:eastAsia="Calibri" w:hAnsiTheme="minorHAnsi" w:cs="Calibri"/>
          <w:color w:val="000000"/>
        </w:rPr>
        <w:t xml:space="preserve"> on peoples </w:t>
      </w:r>
      <w:r w:rsidR="00477A1E" w:rsidRPr="000C081F">
        <w:rPr>
          <w:rFonts w:asciiTheme="minorHAnsi" w:eastAsia="Calibri" w:hAnsiTheme="minorHAnsi" w:cs="Calibri"/>
          <w:color w:val="000000"/>
        </w:rPr>
        <w:t xml:space="preserve">in their territories </w:t>
      </w:r>
      <w:r w:rsidR="004F6C3C" w:rsidRPr="000C081F">
        <w:rPr>
          <w:rFonts w:asciiTheme="minorHAnsi" w:eastAsia="Calibri" w:hAnsiTheme="minorHAnsi" w:cs="Calibri"/>
          <w:color w:val="000000"/>
        </w:rPr>
        <w:t>who do not consent to</w:t>
      </w:r>
      <w:r w:rsidR="00477A1E" w:rsidRPr="000C081F">
        <w:rPr>
          <w:rFonts w:asciiTheme="minorHAnsi" w:eastAsia="Calibri" w:hAnsiTheme="minorHAnsi" w:cs="Calibri"/>
          <w:color w:val="000000"/>
        </w:rPr>
        <w:t xml:space="preserve"> that imposition</w:t>
      </w:r>
      <w:r w:rsidR="004F6C3C" w:rsidRPr="000C081F">
        <w:rPr>
          <w:rFonts w:asciiTheme="minorHAnsi" w:eastAsia="Calibri" w:hAnsiTheme="minorHAnsi" w:cs="Calibri"/>
          <w:color w:val="000000"/>
        </w:rPr>
        <w:t>, especially when the imposed legal system is fundamentally inconsistent with their own legal system. They</w:t>
      </w:r>
      <w:r w:rsidRPr="000C081F">
        <w:rPr>
          <w:rFonts w:asciiTheme="minorHAnsi" w:eastAsia="Calibri" w:hAnsiTheme="minorHAnsi" w:cs="Calibri"/>
          <w:color w:val="000000"/>
        </w:rPr>
        <w:t xml:space="preserve"> </w:t>
      </w:r>
      <w:r w:rsidR="004F6C3C" w:rsidRPr="000C081F">
        <w:rPr>
          <w:rFonts w:asciiTheme="minorHAnsi" w:eastAsia="Calibri" w:hAnsiTheme="minorHAnsi" w:cs="Calibri"/>
          <w:color w:val="000000"/>
        </w:rPr>
        <w:t>are</w:t>
      </w:r>
      <w:r w:rsidRPr="000C081F">
        <w:rPr>
          <w:rFonts w:asciiTheme="minorHAnsi" w:eastAsia="Calibri" w:hAnsiTheme="minorHAnsi" w:cs="Calibri"/>
          <w:color w:val="000000"/>
        </w:rPr>
        <w:t xml:space="preserve"> subjected to standards that they do not (and have good reasons not to) recognise as their own. </w:t>
      </w:r>
      <w:r w:rsidRPr="000C081F">
        <w:rPr>
          <w:rFonts w:asciiTheme="minorHAnsi" w:eastAsia="Calibri" w:hAnsiTheme="minorHAnsi" w:cs="Calibri"/>
        </w:rPr>
        <w:t xml:space="preserve">We might ask </w:t>
      </w:r>
      <w:r w:rsidR="004F6C3C" w:rsidRPr="000C081F">
        <w:rPr>
          <w:rFonts w:asciiTheme="minorHAnsi" w:eastAsia="Calibri" w:hAnsiTheme="minorHAnsi" w:cs="Calibri"/>
        </w:rPr>
        <w:t>–</w:t>
      </w:r>
      <w:r w:rsidRPr="000C081F">
        <w:rPr>
          <w:rFonts w:asciiTheme="minorHAnsi" w:eastAsia="Calibri" w:hAnsiTheme="minorHAnsi" w:cs="Calibri"/>
        </w:rPr>
        <w:t xml:space="preserve"> </w:t>
      </w:r>
      <w:r w:rsidR="004F6C3C" w:rsidRPr="000C081F">
        <w:rPr>
          <w:rFonts w:asciiTheme="minorHAnsi" w:eastAsia="Calibri" w:hAnsiTheme="minorHAnsi" w:cs="Calibri"/>
        </w:rPr>
        <w:t xml:space="preserve">as Roughan does </w:t>
      </w:r>
      <w:r w:rsidR="005F65DD" w:rsidRPr="000C081F">
        <w:rPr>
          <w:rFonts w:asciiTheme="minorHAnsi" w:eastAsia="Calibri" w:hAnsiTheme="minorHAnsi" w:cs="Calibri"/>
        </w:rPr>
        <w:t>–</w:t>
      </w:r>
      <w:r w:rsidR="004F6C3C" w:rsidRPr="000C081F">
        <w:rPr>
          <w:rFonts w:asciiTheme="minorHAnsi" w:eastAsia="Calibri" w:hAnsiTheme="minorHAnsi" w:cs="Calibri"/>
        </w:rPr>
        <w:t xml:space="preserve"> </w:t>
      </w:r>
      <w:r w:rsidRPr="000C081F">
        <w:rPr>
          <w:rFonts w:asciiTheme="minorHAnsi" w:eastAsia="Calibri" w:hAnsiTheme="minorHAnsi" w:cs="Calibri"/>
        </w:rPr>
        <w:t>h</w:t>
      </w:r>
      <w:r w:rsidRPr="000C081F">
        <w:rPr>
          <w:rFonts w:asciiTheme="minorHAnsi" w:eastAsia="Calibri" w:hAnsiTheme="minorHAnsi" w:cs="Calibri"/>
          <w:color w:val="000000"/>
        </w:rPr>
        <w:t xml:space="preserve">ow </w:t>
      </w:r>
      <w:r w:rsidR="00477A1E" w:rsidRPr="000C081F">
        <w:rPr>
          <w:rFonts w:asciiTheme="minorHAnsi" w:eastAsia="Calibri" w:hAnsiTheme="minorHAnsi" w:cs="Calibri"/>
          <w:color w:val="000000"/>
        </w:rPr>
        <w:t xml:space="preserve">could </w:t>
      </w:r>
      <w:r w:rsidRPr="000C081F">
        <w:rPr>
          <w:rFonts w:asciiTheme="minorHAnsi" w:eastAsia="Calibri" w:hAnsiTheme="minorHAnsi" w:cs="Calibri"/>
          <w:color w:val="000000"/>
        </w:rPr>
        <w:t>law operate in a way that is not violent</w:t>
      </w:r>
      <w:r w:rsidRPr="000C081F">
        <w:rPr>
          <w:rFonts w:asciiTheme="minorHAnsi" w:eastAsia="Calibri" w:hAnsiTheme="minorHAnsi" w:cs="Calibri"/>
        </w:rPr>
        <w:t xml:space="preserve"> or </w:t>
      </w:r>
      <w:r w:rsidRPr="000C081F">
        <w:rPr>
          <w:rFonts w:asciiTheme="minorHAnsi" w:eastAsia="Calibri" w:hAnsiTheme="minorHAnsi" w:cs="Calibri"/>
          <w:color w:val="000000"/>
        </w:rPr>
        <w:t xml:space="preserve">based on </w:t>
      </w:r>
      <w:r w:rsidR="004F6C3C" w:rsidRPr="000C081F">
        <w:rPr>
          <w:rFonts w:asciiTheme="minorHAnsi" w:eastAsia="Calibri" w:hAnsiTheme="minorHAnsi" w:cs="Calibri"/>
          <w:color w:val="000000"/>
        </w:rPr>
        <w:t xml:space="preserve">illegitimate </w:t>
      </w:r>
      <w:r w:rsidRPr="000C081F">
        <w:rPr>
          <w:rFonts w:asciiTheme="minorHAnsi" w:eastAsia="Calibri" w:hAnsiTheme="minorHAnsi" w:cs="Calibri"/>
          <w:color w:val="000000"/>
        </w:rPr>
        <w:t>domination?</w:t>
      </w:r>
      <w:r w:rsidR="004F6C3C" w:rsidRPr="000C081F">
        <w:rPr>
          <w:rFonts w:asciiTheme="minorHAnsi" w:eastAsia="Calibri" w:hAnsiTheme="minorHAnsi" w:cs="Calibri"/>
          <w:color w:val="000000"/>
        </w:rPr>
        <w:t xml:space="preserve"> At an individual level, this </w:t>
      </w:r>
      <w:r w:rsidR="00477A1E" w:rsidRPr="000C081F">
        <w:rPr>
          <w:rFonts w:asciiTheme="minorHAnsi" w:eastAsia="Calibri" w:hAnsiTheme="minorHAnsi" w:cs="Calibri"/>
          <w:color w:val="000000"/>
        </w:rPr>
        <w:t xml:space="preserve">requires responding to the inequality faced by </w:t>
      </w:r>
      <w:r w:rsidR="004F6C3C" w:rsidRPr="000C081F">
        <w:rPr>
          <w:rFonts w:asciiTheme="minorHAnsi" w:eastAsia="Calibri" w:hAnsiTheme="minorHAnsi" w:cs="Calibri"/>
          <w:color w:val="000000"/>
        </w:rPr>
        <w:t xml:space="preserve">individuals who have a foreign legal system </w:t>
      </w:r>
      <w:r w:rsidR="00477A1E" w:rsidRPr="000C081F">
        <w:rPr>
          <w:rFonts w:asciiTheme="minorHAnsi" w:eastAsia="Calibri" w:hAnsiTheme="minorHAnsi" w:cs="Calibri"/>
          <w:color w:val="000000"/>
        </w:rPr>
        <w:t xml:space="preserve">forcefully </w:t>
      </w:r>
      <w:r w:rsidR="004F6C3C" w:rsidRPr="000C081F">
        <w:rPr>
          <w:rFonts w:asciiTheme="minorHAnsi" w:eastAsia="Calibri" w:hAnsiTheme="minorHAnsi" w:cs="Calibri"/>
          <w:color w:val="000000"/>
        </w:rPr>
        <w:t>imposed on them</w:t>
      </w:r>
      <w:r w:rsidR="00477A1E" w:rsidRPr="000C081F">
        <w:rPr>
          <w:rFonts w:asciiTheme="minorHAnsi" w:eastAsia="Calibri" w:hAnsiTheme="minorHAnsi" w:cs="Calibri"/>
          <w:color w:val="000000"/>
        </w:rPr>
        <w:t>,</w:t>
      </w:r>
      <w:r w:rsidR="005D08F6" w:rsidRPr="000C081F">
        <w:rPr>
          <w:rFonts w:asciiTheme="minorHAnsi" w:eastAsia="Calibri" w:hAnsiTheme="minorHAnsi" w:cs="Calibri"/>
          <w:color w:val="000000"/>
        </w:rPr>
        <w:t xml:space="preserve"> when others are </w:t>
      </w:r>
      <w:r w:rsidR="004F6C3C" w:rsidRPr="000C081F">
        <w:rPr>
          <w:rFonts w:asciiTheme="minorHAnsi" w:eastAsia="Calibri" w:hAnsiTheme="minorHAnsi" w:cs="Calibri"/>
          <w:color w:val="000000"/>
        </w:rPr>
        <w:t>regulated by a system born from their own cultural</w:t>
      </w:r>
      <w:r w:rsidR="005315F4" w:rsidRPr="000C081F">
        <w:rPr>
          <w:rFonts w:asciiTheme="minorHAnsi" w:eastAsia="Calibri" w:hAnsiTheme="minorHAnsi" w:cs="Calibri"/>
          <w:color w:val="000000"/>
        </w:rPr>
        <w:t xml:space="preserve"> </w:t>
      </w:r>
      <w:r w:rsidR="009F7A97" w:rsidRPr="000C081F">
        <w:rPr>
          <w:rFonts w:asciiTheme="minorHAnsi" w:eastAsia="Calibri" w:hAnsiTheme="minorHAnsi" w:cs="Calibri"/>
          <w:color w:val="000000"/>
        </w:rPr>
        <w:t>context</w:t>
      </w:r>
      <w:r w:rsidR="005315F4" w:rsidRPr="000C081F">
        <w:rPr>
          <w:rFonts w:asciiTheme="minorHAnsi" w:eastAsia="Calibri" w:hAnsiTheme="minorHAnsi" w:cs="Calibri"/>
          <w:color w:val="000000"/>
        </w:rPr>
        <w:t>.</w:t>
      </w:r>
    </w:p>
    <w:p w14:paraId="4A0A2614" w14:textId="77777777" w:rsidR="007810B4" w:rsidRPr="000C081F" w:rsidRDefault="007810B4" w:rsidP="00663D17">
      <w:pPr>
        <w:pBdr>
          <w:top w:val="nil"/>
          <w:left w:val="nil"/>
          <w:bottom w:val="nil"/>
          <w:right w:val="nil"/>
          <w:between w:val="nil"/>
        </w:pBdr>
        <w:spacing w:line="360" w:lineRule="auto"/>
        <w:jc w:val="both"/>
        <w:rPr>
          <w:rFonts w:asciiTheme="minorHAnsi" w:eastAsia="Calibri" w:hAnsiTheme="minorHAnsi" w:cs="Calibri"/>
        </w:rPr>
      </w:pPr>
    </w:p>
    <w:p w14:paraId="0263BB57" w14:textId="6728E273" w:rsidR="007810B4" w:rsidRPr="000C081F" w:rsidRDefault="00025F85" w:rsidP="00663D17">
      <w:pPr>
        <w:spacing w:line="360" w:lineRule="auto"/>
        <w:rPr>
          <w:rFonts w:asciiTheme="minorHAnsi" w:eastAsia="Calibri" w:hAnsiTheme="minorHAnsi" w:cs="Calibri"/>
          <w:color w:val="000000"/>
        </w:rPr>
      </w:pPr>
      <w:r w:rsidRPr="000C081F">
        <w:rPr>
          <w:rFonts w:asciiTheme="minorHAnsi" w:eastAsia="Calibri" w:hAnsiTheme="minorHAnsi" w:cs="Calibri"/>
        </w:rPr>
        <w:t xml:space="preserve">Extrapolating from </w:t>
      </w:r>
      <w:r w:rsidR="004F6C3C" w:rsidRPr="000C081F">
        <w:rPr>
          <w:rFonts w:asciiTheme="minorHAnsi" w:eastAsia="Calibri" w:hAnsiTheme="minorHAnsi" w:cs="Calibri"/>
        </w:rPr>
        <w:t>these</w:t>
      </w:r>
      <w:r w:rsidRPr="000C081F">
        <w:rPr>
          <w:rFonts w:asciiTheme="minorHAnsi" w:eastAsia="Calibri" w:hAnsiTheme="minorHAnsi" w:cs="Calibri"/>
        </w:rPr>
        <w:t xml:space="preserve"> </w:t>
      </w:r>
      <w:r w:rsidR="004F6C3C" w:rsidRPr="000C081F">
        <w:rPr>
          <w:rFonts w:asciiTheme="minorHAnsi" w:eastAsia="Calibri" w:hAnsiTheme="minorHAnsi" w:cs="Calibri"/>
        </w:rPr>
        <w:t>basic</w:t>
      </w:r>
      <w:r w:rsidRPr="000C081F">
        <w:rPr>
          <w:rFonts w:asciiTheme="minorHAnsi" w:eastAsia="Calibri" w:hAnsiTheme="minorHAnsi" w:cs="Calibri"/>
        </w:rPr>
        <w:t xml:space="preserve"> questions, we</w:t>
      </w:r>
      <w:r w:rsidR="007810B4" w:rsidRPr="000C081F">
        <w:rPr>
          <w:rFonts w:asciiTheme="minorHAnsi" w:eastAsia="Calibri" w:hAnsiTheme="minorHAnsi" w:cs="Calibri"/>
        </w:rPr>
        <w:t xml:space="preserve"> might also consider these m</w:t>
      </w:r>
      <w:r w:rsidR="007810B4" w:rsidRPr="000C081F">
        <w:rPr>
          <w:rFonts w:asciiTheme="minorHAnsi" w:eastAsia="Calibri" w:hAnsiTheme="minorHAnsi" w:cs="Calibri"/>
          <w:color w:val="000000"/>
        </w:rPr>
        <w:t>ore specific</w:t>
      </w:r>
      <w:r w:rsidR="008C31FA" w:rsidRPr="000C081F">
        <w:rPr>
          <w:rFonts w:asciiTheme="minorHAnsi" w:eastAsia="Calibri" w:hAnsiTheme="minorHAnsi" w:cs="Calibri"/>
          <w:color w:val="000000"/>
        </w:rPr>
        <w:t xml:space="preserve"> issues</w:t>
      </w:r>
      <w:r w:rsidR="000265F2" w:rsidRPr="000C081F">
        <w:rPr>
          <w:rFonts w:asciiTheme="minorHAnsi" w:eastAsia="Calibri" w:hAnsiTheme="minorHAnsi" w:cs="Calibri"/>
          <w:color w:val="000000"/>
        </w:rPr>
        <w:t xml:space="preserve"> when assessing </w:t>
      </w:r>
      <w:r w:rsidR="00FD6291" w:rsidRPr="000C081F">
        <w:rPr>
          <w:rFonts w:asciiTheme="minorHAnsi" w:eastAsia="Calibri" w:hAnsiTheme="minorHAnsi" w:cs="Calibri"/>
          <w:color w:val="000000"/>
        </w:rPr>
        <w:t xml:space="preserve">how well a specific model </w:t>
      </w:r>
      <w:r w:rsidR="001C6597" w:rsidRPr="000C081F">
        <w:rPr>
          <w:rFonts w:asciiTheme="minorHAnsi" w:eastAsia="Calibri" w:hAnsiTheme="minorHAnsi" w:cs="Calibri"/>
          <w:color w:val="000000"/>
        </w:rPr>
        <w:t xml:space="preserve">of </w:t>
      </w:r>
      <w:r w:rsidR="00FD6291" w:rsidRPr="000C081F">
        <w:rPr>
          <w:rFonts w:asciiTheme="minorHAnsi" w:eastAsia="Calibri" w:hAnsiTheme="minorHAnsi" w:cs="Calibri"/>
          <w:color w:val="000000"/>
        </w:rPr>
        <w:t>pluralism might realise Indigenous peopl</w:t>
      </w:r>
      <w:r w:rsidR="001C6597" w:rsidRPr="000C081F">
        <w:rPr>
          <w:rFonts w:asciiTheme="minorHAnsi" w:eastAsia="Calibri" w:hAnsiTheme="minorHAnsi" w:cs="Calibri"/>
          <w:color w:val="000000"/>
        </w:rPr>
        <w:t>e</w:t>
      </w:r>
      <w:r w:rsidR="00FD6291" w:rsidRPr="000C081F">
        <w:rPr>
          <w:rFonts w:asciiTheme="minorHAnsi" w:eastAsia="Calibri" w:hAnsiTheme="minorHAnsi" w:cs="Calibri"/>
          <w:color w:val="000000"/>
        </w:rPr>
        <w:t>s’ self-determination</w:t>
      </w:r>
      <w:r w:rsidR="007810B4" w:rsidRPr="000C081F">
        <w:rPr>
          <w:rFonts w:asciiTheme="minorHAnsi" w:eastAsia="Calibri" w:hAnsiTheme="minorHAnsi" w:cs="Calibri"/>
          <w:color w:val="000000"/>
        </w:rPr>
        <w:t>:</w:t>
      </w:r>
    </w:p>
    <w:p w14:paraId="4716A590" w14:textId="77777777" w:rsidR="007810B4" w:rsidRPr="000C081F" w:rsidRDefault="007810B4" w:rsidP="00663D17">
      <w:pPr>
        <w:spacing w:line="360" w:lineRule="auto"/>
        <w:rPr>
          <w:rFonts w:asciiTheme="minorHAnsi" w:eastAsia="Calibri" w:hAnsiTheme="minorHAnsi" w:cs="Calibri"/>
          <w:color w:val="000000"/>
        </w:rPr>
      </w:pPr>
    </w:p>
    <w:p w14:paraId="79FE377E" w14:textId="1CC9DC93" w:rsidR="00025F85" w:rsidRPr="000C081F" w:rsidRDefault="007810B4" w:rsidP="00663D17">
      <w:pPr>
        <w:numPr>
          <w:ilvl w:val="0"/>
          <w:numId w:val="4"/>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How </w:t>
      </w:r>
      <w:r w:rsidR="00F72F12" w:rsidRPr="000C081F">
        <w:rPr>
          <w:rFonts w:asciiTheme="minorHAnsi" w:eastAsia="Calibri" w:hAnsiTheme="minorHAnsi" w:cs="Calibri"/>
          <w:color w:val="000000"/>
        </w:rPr>
        <w:t>can there be</w:t>
      </w:r>
      <w:r w:rsidRPr="000C081F">
        <w:rPr>
          <w:rFonts w:asciiTheme="minorHAnsi" w:eastAsia="Calibri" w:hAnsiTheme="minorHAnsi" w:cs="Calibri"/>
          <w:color w:val="000000"/>
        </w:rPr>
        <w:t xml:space="preserve"> “equality” </w:t>
      </w:r>
      <w:r w:rsidR="008C31FA" w:rsidRPr="000C081F">
        <w:rPr>
          <w:rFonts w:asciiTheme="minorHAnsi" w:eastAsia="Calibri" w:hAnsiTheme="minorHAnsi" w:cs="Calibri"/>
          <w:color w:val="000000"/>
        </w:rPr>
        <w:t>between legal systems when multiple legal systems operate within one territory?</w:t>
      </w:r>
      <w:r w:rsidRPr="000C081F">
        <w:rPr>
          <w:rFonts w:asciiTheme="minorHAnsi" w:eastAsia="Calibri" w:hAnsiTheme="minorHAnsi" w:cs="Calibri"/>
          <w:color w:val="000000"/>
        </w:rPr>
        <w:t xml:space="preserve"> </w:t>
      </w:r>
    </w:p>
    <w:p w14:paraId="35674E32" w14:textId="77777777" w:rsidR="00263B53" w:rsidRPr="000C081F" w:rsidRDefault="00263B53" w:rsidP="00663D17">
      <w:pPr>
        <w:pBdr>
          <w:top w:val="nil"/>
          <w:left w:val="nil"/>
          <w:bottom w:val="nil"/>
          <w:right w:val="nil"/>
          <w:between w:val="nil"/>
        </w:pBdr>
        <w:spacing w:line="360" w:lineRule="auto"/>
        <w:ind w:left="360"/>
        <w:rPr>
          <w:rFonts w:asciiTheme="minorHAnsi" w:eastAsia="Calibri" w:hAnsiTheme="minorHAnsi" w:cs="Calibri"/>
          <w:color w:val="000000"/>
        </w:rPr>
      </w:pPr>
    </w:p>
    <w:p w14:paraId="4BFB0A2C" w14:textId="0D76D5DA" w:rsidR="007810B4" w:rsidRPr="000C081F" w:rsidRDefault="00025F85" w:rsidP="00663D17">
      <w:pPr>
        <w:numPr>
          <w:ilvl w:val="0"/>
          <w:numId w:val="4"/>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Is</w:t>
      </w:r>
      <w:r w:rsidR="007810B4" w:rsidRPr="000C081F">
        <w:rPr>
          <w:rFonts w:asciiTheme="minorHAnsi" w:eastAsia="Calibri" w:hAnsiTheme="minorHAnsi" w:cs="Calibri"/>
          <w:color w:val="000000"/>
        </w:rPr>
        <w:t xml:space="preserve"> a system that requires state recognition of non-state law</w:t>
      </w:r>
      <w:r w:rsidR="00F72F12" w:rsidRPr="000C081F">
        <w:rPr>
          <w:rFonts w:asciiTheme="minorHAnsi" w:eastAsia="Calibri" w:hAnsiTheme="minorHAnsi" w:cs="Calibri"/>
          <w:color w:val="000000"/>
        </w:rPr>
        <w:t xml:space="preserve"> </w:t>
      </w:r>
      <w:r w:rsidR="00263B53" w:rsidRPr="000C081F">
        <w:rPr>
          <w:rFonts w:asciiTheme="minorHAnsi" w:eastAsia="Calibri" w:hAnsiTheme="minorHAnsi" w:cs="Calibri"/>
          <w:color w:val="000000"/>
        </w:rPr>
        <w:t>for</w:t>
      </w:r>
      <w:r w:rsidR="00F72F12" w:rsidRPr="000C081F">
        <w:rPr>
          <w:rFonts w:asciiTheme="minorHAnsi" w:eastAsia="Calibri" w:hAnsiTheme="minorHAnsi" w:cs="Calibri"/>
          <w:color w:val="000000"/>
        </w:rPr>
        <w:t xml:space="preserve"> non-state law to have authority and legitimacy</w:t>
      </w:r>
      <w:r w:rsidRPr="000C081F">
        <w:rPr>
          <w:rFonts w:asciiTheme="minorHAnsi" w:eastAsia="Calibri" w:hAnsiTheme="minorHAnsi" w:cs="Calibri"/>
          <w:color w:val="000000"/>
        </w:rPr>
        <w:t xml:space="preserve"> </w:t>
      </w:r>
      <w:r w:rsidR="004E7E57" w:rsidRPr="000C081F">
        <w:rPr>
          <w:rFonts w:asciiTheme="minorHAnsi" w:eastAsia="Calibri" w:hAnsiTheme="minorHAnsi" w:cs="Calibri"/>
          <w:color w:val="000000"/>
        </w:rPr>
        <w:t xml:space="preserve">truly </w:t>
      </w:r>
      <w:r w:rsidR="009F4E56" w:rsidRPr="000C081F">
        <w:rPr>
          <w:rFonts w:asciiTheme="minorHAnsi" w:eastAsia="Calibri" w:hAnsiTheme="minorHAnsi" w:cs="Calibri"/>
          <w:color w:val="000000"/>
        </w:rPr>
        <w:t>“</w:t>
      </w:r>
      <w:r w:rsidR="007810B4" w:rsidRPr="000C081F">
        <w:rPr>
          <w:rFonts w:asciiTheme="minorHAnsi" w:eastAsia="Calibri" w:hAnsiTheme="minorHAnsi" w:cs="Calibri"/>
          <w:color w:val="000000"/>
        </w:rPr>
        <w:t>pluralis</w:t>
      </w:r>
      <w:r w:rsidR="009F4E56" w:rsidRPr="000C081F">
        <w:rPr>
          <w:rFonts w:asciiTheme="minorHAnsi" w:eastAsia="Calibri" w:hAnsiTheme="minorHAnsi" w:cs="Calibri"/>
          <w:color w:val="000000"/>
        </w:rPr>
        <w:t xml:space="preserve">t”? </w:t>
      </w:r>
      <w:r w:rsidR="007810B4" w:rsidRPr="000C081F">
        <w:rPr>
          <w:rFonts w:asciiTheme="minorHAnsi" w:eastAsia="Calibri" w:hAnsiTheme="minorHAnsi" w:cs="Calibri"/>
          <w:color w:val="000000"/>
        </w:rPr>
        <w:t xml:space="preserve">Griffiths </w:t>
      </w:r>
      <w:r w:rsidR="009F4E56" w:rsidRPr="000C081F">
        <w:rPr>
          <w:rFonts w:asciiTheme="minorHAnsi" w:eastAsia="Calibri" w:hAnsiTheme="minorHAnsi" w:cs="Calibri"/>
          <w:color w:val="000000"/>
        </w:rPr>
        <w:t>has</w:t>
      </w:r>
      <w:r w:rsidR="007810B4" w:rsidRPr="000C081F">
        <w:rPr>
          <w:rFonts w:asciiTheme="minorHAnsi" w:eastAsia="Calibri" w:hAnsiTheme="minorHAnsi" w:cs="Calibri"/>
          <w:color w:val="000000"/>
        </w:rPr>
        <w:t xml:space="preserve"> suggested that it is not, as it </w:t>
      </w:r>
      <w:r w:rsidR="009F4E56" w:rsidRPr="000C081F">
        <w:rPr>
          <w:rFonts w:asciiTheme="minorHAnsi" w:eastAsia="Calibri" w:hAnsiTheme="minorHAnsi" w:cs="Calibri"/>
          <w:color w:val="000000"/>
        </w:rPr>
        <w:lastRenderedPageBreak/>
        <w:t xml:space="preserve">basically </w:t>
      </w:r>
      <w:r w:rsidR="007810B4" w:rsidRPr="000C081F">
        <w:rPr>
          <w:rFonts w:asciiTheme="minorHAnsi" w:eastAsia="Calibri" w:hAnsiTheme="minorHAnsi" w:cs="Calibri"/>
          <w:color w:val="000000"/>
        </w:rPr>
        <w:t>subordinates one system to another</w:t>
      </w:r>
      <w:r w:rsidR="00F72F12" w:rsidRPr="000C081F">
        <w:rPr>
          <w:rFonts w:asciiTheme="minorHAnsi" w:eastAsia="Calibri" w:hAnsiTheme="minorHAnsi" w:cs="Calibri"/>
          <w:color w:val="000000"/>
        </w:rPr>
        <w:t>, creating a hierarchy of systems</w:t>
      </w:r>
      <w:r w:rsidR="00477A1E" w:rsidRPr="000C081F">
        <w:rPr>
          <w:rFonts w:asciiTheme="minorHAnsi" w:eastAsia="Calibri" w:hAnsiTheme="minorHAnsi" w:cs="Calibri"/>
          <w:color w:val="000000"/>
        </w:rPr>
        <w:t>, with</w:t>
      </w:r>
      <w:r w:rsidR="00F72F12" w:rsidRPr="000C081F">
        <w:rPr>
          <w:rFonts w:asciiTheme="minorHAnsi" w:eastAsia="Calibri" w:hAnsiTheme="minorHAnsi" w:cs="Calibri"/>
          <w:color w:val="000000"/>
        </w:rPr>
        <w:t xml:space="preserve"> </w:t>
      </w:r>
      <w:r w:rsidR="00477A1E" w:rsidRPr="000C081F">
        <w:rPr>
          <w:rFonts w:asciiTheme="minorHAnsi" w:eastAsia="Calibri" w:hAnsiTheme="minorHAnsi" w:cs="Calibri"/>
          <w:color w:val="000000"/>
        </w:rPr>
        <w:t xml:space="preserve">one system </w:t>
      </w:r>
      <w:r w:rsidR="00F72F12" w:rsidRPr="000C081F">
        <w:rPr>
          <w:rFonts w:asciiTheme="minorHAnsi" w:eastAsia="Calibri" w:hAnsiTheme="minorHAnsi" w:cs="Calibri"/>
          <w:color w:val="000000"/>
        </w:rPr>
        <w:t>dominan</w:t>
      </w:r>
      <w:r w:rsidR="00477A1E" w:rsidRPr="000C081F">
        <w:rPr>
          <w:rFonts w:asciiTheme="minorHAnsi" w:eastAsia="Calibri" w:hAnsiTheme="minorHAnsi" w:cs="Calibri"/>
          <w:color w:val="000000"/>
        </w:rPr>
        <w:t>t</w:t>
      </w:r>
      <w:r w:rsidR="00F72F12" w:rsidRPr="000C081F">
        <w:rPr>
          <w:rFonts w:asciiTheme="minorHAnsi" w:eastAsia="Calibri" w:hAnsiTheme="minorHAnsi" w:cs="Calibri"/>
          <w:color w:val="000000"/>
        </w:rPr>
        <w:t xml:space="preserve"> over another</w:t>
      </w:r>
      <w:r w:rsidRPr="000C081F">
        <w:rPr>
          <w:rFonts w:asciiTheme="minorHAnsi" w:eastAsia="Calibri" w:hAnsiTheme="minorHAnsi" w:cs="Calibri"/>
          <w:color w:val="000000"/>
        </w:rPr>
        <w:t>.</w:t>
      </w:r>
      <w:r w:rsidR="009F4E56" w:rsidRPr="000C081F">
        <w:rPr>
          <w:rFonts w:asciiTheme="minorHAnsi" w:eastAsia="Calibri" w:hAnsiTheme="minorHAnsi" w:cs="Calibri"/>
          <w:color w:val="000000"/>
          <w:vertAlign w:val="superscript"/>
        </w:rPr>
        <w:footnoteReference w:id="3"/>
      </w:r>
      <w:r w:rsidR="00263B53" w:rsidRPr="000C081F">
        <w:rPr>
          <w:rFonts w:asciiTheme="minorHAnsi" w:eastAsia="Calibri" w:hAnsiTheme="minorHAnsi" w:cs="Calibri"/>
          <w:color w:val="000000"/>
        </w:rPr>
        <w:t xml:space="preserve"> </w:t>
      </w:r>
    </w:p>
    <w:p w14:paraId="3A2D4168" w14:textId="77777777" w:rsidR="00263B53" w:rsidRPr="000C081F" w:rsidRDefault="00263B53" w:rsidP="00663D17">
      <w:pPr>
        <w:pBdr>
          <w:top w:val="nil"/>
          <w:left w:val="nil"/>
          <w:bottom w:val="nil"/>
          <w:right w:val="nil"/>
          <w:between w:val="nil"/>
        </w:pBdr>
        <w:spacing w:line="360" w:lineRule="auto"/>
        <w:rPr>
          <w:rFonts w:asciiTheme="minorHAnsi" w:eastAsia="Calibri" w:hAnsiTheme="minorHAnsi" w:cs="Calibri"/>
          <w:color w:val="000000"/>
        </w:rPr>
      </w:pPr>
    </w:p>
    <w:p w14:paraId="08C419AF" w14:textId="13AAAE64" w:rsidR="004E7E57" w:rsidRPr="000C081F" w:rsidRDefault="00F72F12" w:rsidP="00663D17">
      <w:pPr>
        <w:numPr>
          <w:ilvl w:val="0"/>
          <w:numId w:val="4"/>
        </w:num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rPr>
        <w:t xml:space="preserve">What </w:t>
      </w:r>
      <w:r w:rsidR="00263B53" w:rsidRPr="000C081F">
        <w:rPr>
          <w:rFonts w:asciiTheme="minorHAnsi" w:eastAsia="Calibri" w:hAnsiTheme="minorHAnsi" w:cs="Calibri"/>
        </w:rPr>
        <w:t>about</w:t>
      </w:r>
      <w:r w:rsidR="007810B4" w:rsidRPr="000C081F">
        <w:rPr>
          <w:rFonts w:asciiTheme="minorHAnsi" w:eastAsia="Calibri" w:hAnsiTheme="minorHAnsi" w:cs="Calibri"/>
          <w:color w:val="000000"/>
        </w:rPr>
        <w:t xml:space="preserve"> “conflict of laws rules”</w:t>
      </w:r>
      <w:r w:rsidR="004E7E57" w:rsidRPr="000C081F">
        <w:rPr>
          <w:rFonts w:asciiTheme="minorHAnsi" w:eastAsia="Calibri" w:hAnsiTheme="minorHAnsi" w:cs="Calibri"/>
          <w:color w:val="000000"/>
        </w:rPr>
        <w:t xml:space="preserve">, </w:t>
      </w:r>
      <w:r w:rsidR="007810B4" w:rsidRPr="000C081F">
        <w:rPr>
          <w:rFonts w:asciiTheme="minorHAnsi" w:eastAsia="Calibri" w:hAnsiTheme="minorHAnsi" w:cs="Calibri"/>
          <w:color w:val="000000"/>
        </w:rPr>
        <w:t xml:space="preserve">when rules </w:t>
      </w:r>
      <w:r w:rsidR="004E7E57" w:rsidRPr="000C081F">
        <w:rPr>
          <w:rFonts w:asciiTheme="minorHAnsi" w:eastAsia="Calibri" w:hAnsiTheme="minorHAnsi" w:cs="Calibri"/>
          <w:color w:val="000000"/>
        </w:rPr>
        <w:t>from</w:t>
      </w:r>
      <w:r w:rsidR="007810B4" w:rsidRPr="000C081F">
        <w:rPr>
          <w:rFonts w:asciiTheme="minorHAnsi" w:eastAsia="Calibri" w:hAnsiTheme="minorHAnsi" w:cs="Calibri"/>
          <w:color w:val="000000"/>
        </w:rPr>
        <w:t xml:space="preserve"> one system</w:t>
      </w:r>
      <w:r w:rsidR="004E7E57" w:rsidRPr="000C081F">
        <w:rPr>
          <w:rFonts w:asciiTheme="minorHAnsi" w:eastAsia="Calibri" w:hAnsiTheme="minorHAnsi" w:cs="Calibri"/>
          <w:color w:val="000000"/>
        </w:rPr>
        <w:t xml:space="preserve"> </w:t>
      </w:r>
      <w:r w:rsidR="00477A1E" w:rsidRPr="000C081F">
        <w:rPr>
          <w:rFonts w:asciiTheme="minorHAnsi" w:eastAsia="Calibri" w:hAnsiTheme="minorHAnsi" w:cs="Calibri"/>
          <w:color w:val="000000"/>
        </w:rPr>
        <w:t xml:space="preserve">– </w:t>
      </w:r>
      <w:r w:rsidR="004E7E57" w:rsidRPr="000C081F">
        <w:rPr>
          <w:rFonts w:asciiTheme="minorHAnsi" w:eastAsia="Calibri" w:hAnsiTheme="minorHAnsi" w:cs="Calibri"/>
          <w:color w:val="000000"/>
        </w:rPr>
        <w:t>for example,</w:t>
      </w:r>
      <w:r w:rsidR="007810B4" w:rsidRPr="000C081F">
        <w:rPr>
          <w:rFonts w:asciiTheme="minorHAnsi" w:eastAsia="Calibri" w:hAnsiTheme="minorHAnsi" w:cs="Calibri"/>
          <w:color w:val="000000"/>
        </w:rPr>
        <w:t xml:space="preserve"> the </w:t>
      </w:r>
      <w:r w:rsidR="006102CF" w:rsidRPr="000C081F">
        <w:rPr>
          <w:rFonts w:asciiTheme="minorHAnsi" w:eastAsia="Calibri" w:hAnsiTheme="minorHAnsi" w:cs="Calibri"/>
          <w:color w:val="000000"/>
        </w:rPr>
        <w:t xml:space="preserve">Aotearoa </w:t>
      </w:r>
      <w:r w:rsidR="004E7E57" w:rsidRPr="000C081F">
        <w:rPr>
          <w:rFonts w:asciiTheme="minorHAnsi" w:eastAsia="Calibri" w:hAnsiTheme="minorHAnsi" w:cs="Calibri"/>
          <w:color w:val="000000"/>
        </w:rPr>
        <w:t>New Zealand</w:t>
      </w:r>
      <w:r w:rsidR="007810B4" w:rsidRPr="000C081F">
        <w:rPr>
          <w:rFonts w:asciiTheme="minorHAnsi" w:eastAsia="Calibri" w:hAnsiTheme="minorHAnsi" w:cs="Calibri"/>
          <w:color w:val="000000"/>
        </w:rPr>
        <w:t xml:space="preserve"> legal system</w:t>
      </w:r>
      <w:r w:rsidR="00477A1E" w:rsidRPr="000C081F">
        <w:rPr>
          <w:rFonts w:asciiTheme="minorHAnsi" w:eastAsia="Calibri" w:hAnsiTheme="minorHAnsi" w:cs="Calibri"/>
          <w:color w:val="000000"/>
        </w:rPr>
        <w:t xml:space="preserve"> –</w:t>
      </w:r>
      <w:r w:rsidR="007810B4" w:rsidRPr="000C081F">
        <w:rPr>
          <w:rFonts w:asciiTheme="minorHAnsi" w:eastAsia="Calibri" w:hAnsiTheme="minorHAnsi" w:cs="Calibri"/>
          <w:color w:val="000000"/>
        </w:rPr>
        <w:t xml:space="preserve"> determi</w:t>
      </w:r>
      <w:r w:rsidR="004E7E57" w:rsidRPr="000C081F">
        <w:rPr>
          <w:rFonts w:asciiTheme="minorHAnsi" w:eastAsia="Calibri" w:hAnsiTheme="minorHAnsi" w:cs="Calibri"/>
          <w:color w:val="000000"/>
        </w:rPr>
        <w:t xml:space="preserve">ne which legal system regulates a dispute </w:t>
      </w:r>
      <w:r w:rsidR="007810B4" w:rsidRPr="000C081F">
        <w:rPr>
          <w:rFonts w:asciiTheme="minorHAnsi" w:eastAsia="Calibri" w:hAnsiTheme="minorHAnsi" w:cs="Calibri"/>
          <w:color w:val="000000"/>
        </w:rPr>
        <w:t xml:space="preserve">when </w:t>
      </w:r>
      <w:r w:rsidR="007810B4" w:rsidRPr="000C081F">
        <w:rPr>
          <w:rFonts w:asciiTheme="minorHAnsi" w:eastAsia="Calibri" w:hAnsiTheme="minorHAnsi" w:cs="Calibri"/>
        </w:rPr>
        <w:t>two</w:t>
      </w:r>
      <w:r w:rsidR="007810B4" w:rsidRPr="000C081F">
        <w:rPr>
          <w:rFonts w:asciiTheme="minorHAnsi" w:eastAsia="Calibri" w:hAnsiTheme="minorHAnsi" w:cs="Calibri"/>
          <w:color w:val="000000"/>
        </w:rPr>
        <w:t xml:space="preserve"> legal systems </w:t>
      </w:r>
      <w:r w:rsidR="004E7E57" w:rsidRPr="000C081F">
        <w:rPr>
          <w:rFonts w:asciiTheme="minorHAnsi" w:eastAsia="Calibri" w:hAnsiTheme="minorHAnsi" w:cs="Calibri"/>
          <w:color w:val="000000"/>
        </w:rPr>
        <w:t>are in play</w:t>
      </w:r>
      <w:r w:rsidR="007810B4" w:rsidRPr="000C081F">
        <w:rPr>
          <w:rFonts w:asciiTheme="minorHAnsi" w:eastAsia="Calibri" w:hAnsiTheme="minorHAnsi" w:cs="Calibri"/>
          <w:color w:val="000000"/>
        </w:rPr>
        <w:t xml:space="preserve">. </w:t>
      </w:r>
      <w:r w:rsidR="004E7E57" w:rsidRPr="000C081F">
        <w:rPr>
          <w:rFonts w:asciiTheme="minorHAnsi" w:eastAsia="Calibri" w:hAnsiTheme="minorHAnsi" w:cs="Calibri"/>
          <w:color w:val="000000"/>
        </w:rPr>
        <w:t>Conflict of law</w:t>
      </w:r>
      <w:r w:rsidR="00FC5DDE" w:rsidRPr="000C081F">
        <w:rPr>
          <w:rFonts w:asciiTheme="minorHAnsi" w:eastAsia="Calibri" w:hAnsiTheme="minorHAnsi" w:cs="Calibri"/>
          <w:color w:val="000000"/>
        </w:rPr>
        <w:t>s</w:t>
      </w:r>
      <w:r w:rsidR="004E7E57" w:rsidRPr="000C081F">
        <w:rPr>
          <w:rFonts w:asciiTheme="minorHAnsi" w:eastAsia="Calibri" w:hAnsiTheme="minorHAnsi" w:cs="Calibri"/>
          <w:color w:val="000000"/>
        </w:rPr>
        <w:t xml:space="preserve"> rules are common in </w:t>
      </w:r>
      <w:r w:rsidRPr="000C081F">
        <w:rPr>
          <w:rFonts w:asciiTheme="minorHAnsi" w:eastAsia="Calibri" w:hAnsiTheme="minorHAnsi" w:cs="Calibri"/>
          <w:color w:val="000000"/>
        </w:rPr>
        <w:t xml:space="preserve">private </w:t>
      </w:r>
      <w:r w:rsidR="004E7E57" w:rsidRPr="000C081F">
        <w:rPr>
          <w:rFonts w:asciiTheme="minorHAnsi" w:eastAsia="Calibri" w:hAnsiTheme="minorHAnsi" w:cs="Calibri"/>
          <w:color w:val="000000"/>
        </w:rPr>
        <w:t>international</w:t>
      </w:r>
      <w:r w:rsidR="00FC5DDE" w:rsidRPr="000C081F">
        <w:rPr>
          <w:rFonts w:asciiTheme="minorHAnsi" w:eastAsia="Calibri" w:hAnsiTheme="minorHAnsi" w:cs="Calibri"/>
          <w:color w:val="000000"/>
        </w:rPr>
        <w:t xml:space="preserve"> law</w:t>
      </w:r>
      <w:r w:rsidRPr="000C081F">
        <w:rPr>
          <w:rFonts w:asciiTheme="minorHAnsi" w:eastAsia="Calibri" w:hAnsiTheme="minorHAnsi" w:cs="Calibri"/>
          <w:color w:val="000000"/>
        </w:rPr>
        <w:t xml:space="preserve">, </w:t>
      </w:r>
      <w:r w:rsidR="00FC5DDE" w:rsidRPr="000C081F">
        <w:rPr>
          <w:rFonts w:asciiTheme="minorHAnsi" w:eastAsia="Calibri" w:hAnsiTheme="minorHAnsi" w:cs="Calibri"/>
          <w:color w:val="000000"/>
        </w:rPr>
        <w:t>determining</w:t>
      </w:r>
      <w:r w:rsidR="004E7E57" w:rsidRPr="000C081F">
        <w:rPr>
          <w:rFonts w:asciiTheme="minorHAnsi" w:eastAsia="Calibri" w:hAnsiTheme="minorHAnsi" w:cs="Calibri"/>
          <w:color w:val="000000"/>
        </w:rPr>
        <w:t xml:space="preserve">, for example, whether Australian or </w:t>
      </w:r>
      <w:r w:rsidR="006102CF" w:rsidRPr="000C081F">
        <w:rPr>
          <w:rFonts w:asciiTheme="minorHAnsi" w:eastAsia="Calibri" w:hAnsiTheme="minorHAnsi" w:cs="Calibri"/>
          <w:color w:val="000000"/>
        </w:rPr>
        <w:t xml:space="preserve">Aotearoa </w:t>
      </w:r>
      <w:r w:rsidR="004E7E57" w:rsidRPr="000C081F">
        <w:rPr>
          <w:rFonts w:asciiTheme="minorHAnsi" w:eastAsia="Calibri" w:hAnsiTheme="minorHAnsi" w:cs="Calibri"/>
          <w:color w:val="000000"/>
        </w:rPr>
        <w:t>New Zealand law appl</w:t>
      </w:r>
      <w:r w:rsidRPr="000C081F">
        <w:rPr>
          <w:rFonts w:asciiTheme="minorHAnsi" w:eastAsia="Calibri" w:hAnsiTheme="minorHAnsi" w:cs="Calibri"/>
          <w:color w:val="000000"/>
        </w:rPr>
        <w:t>ies</w:t>
      </w:r>
      <w:r w:rsidR="004E7E57" w:rsidRPr="000C081F">
        <w:rPr>
          <w:rFonts w:asciiTheme="minorHAnsi" w:eastAsia="Calibri" w:hAnsiTheme="minorHAnsi" w:cs="Calibri"/>
          <w:color w:val="000000"/>
        </w:rPr>
        <w:t xml:space="preserve"> where a dispute engages </w:t>
      </w:r>
      <w:r w:rsidR="00FC5DDE" w:rsidRPr="000C081F">
        <w:rPr>
          <w:rFonts w:asciiTheme="minorHAnsi" w:eastAsia="Calibri" w:hAnsiTheme="minorHAnsi" w:cs="Calibri"/>
          <w:color w:val="000000"/>
        </w:rPr>
        <w:t xml:space="preserve">both </w:t>
      </w:r>
      <w:r w:rsidR="004E7E57" w:rsidRPr="000C081F">
        <w:rPr>
          <w:rFonts w:asciiTheme="minorHAnsi" w:eastAsia="Calibri" w:hAnsiTheme="minorHAnsi" w:cs="Calibri"/>
          <w:color w:val="000000"/>
        </w:rPr>
        <w:t>jurisdictions. They are also regularly engaged in federal legal systems</w:t>
      </w:r>
      <w:r w:rsidR="00FC5DDE" w:rsidRPr="000C081F">
        <w:rPr>
          <w:rFonts w:asciiTheme="minorHAnsi" w:eastAsia="Calibri" w:hAnsiTheme="minorHAnsi" w:cs="Calibri"/>
          <w:color w:val="000000"/>
        </w:rPr>
        <w:t>,</w:t>
      </w:r>
      <w:r w:rsidR="004E7E57" w:rsidRPr="000C081F">
        <w:rPr>
          <w:rFonts w:asciiTheme="minorHAnsi" w:eastAsia="Calibri" w:hAnsiTheme="minorHAnsi" w:cs="Calibri"/>
          <w:color w:val="000000"/>
        </w:rPr>
        <w:t xml:space="preserve"> such as the U</w:t>
      </w:r>
      <w:r w:rsidR="00FC5DDE" w:rsidRPr="000C081F">
        <w:rPr>
          <w:rFonts w:asciiTheme="minorHAnsi" w:eastAsia="Calibri" w:hAnsiTheme="minorHAnsi" w:cs="Calibri"/>
          <w:color w:val="000000"/>
        </w:rPr>
        <w:t>nited States,</w:t>
      </w:r>
      <w:r w:rsidR="004E7E57" w:rsidRPr="000C081F">
        <w:rPr>
          <w:rFonts w:asciiTheme="minorHAnsi" w:eastAsia="Calibri" w:hAnsiTheme="minorHAnsi" w:cs="Calibri"/>
          <w:color w:val="000000"/>
        </w:rPr>
        <w:t xml:space="preserve"> to determine which state</w:t>
      </w:r>
      <w:r w:rsidR="00477A1E" w:rsidRPr="000C081F">
        <w:rPr>
          <w:rFonts w:asciiTheme="minorHAnsi" w:eastAsia="Calibri" w:hAnsiTheme="minorHAnsi" w:cs="Calibri"/>
          <w:color w:val="000000"/>
        </w:rPr>
        <w:t>’s</w:t>
      </w:r>
      <w:r w:rsidR="004E7E57" w:rsidRPr="000C081F">
        <w:rPr>
          <w:rFonts w:asciiTheme="minorHAnsi" w:eastAsia="Calibri" w:hAnsiTheme="minorHAnsi" w:cs="Calibri"/>
          <w:color w:val="000000"/>
        </w:rPr>
        <w:t xml:space="preserve"> law is to be applied </w:t>
      </w:r>
      <w:r w:rsidR="00477A1E" w:rsidRPr="000C081F">
        <w:rPr>
          <w:rFonts w:asciiTheme="minorHAnsi" w:eastAsia="Calibri" w:hAnsiTheme="minorHAnsi" w:cs="Calibri"/>
          <w:color w:val="000000"/>
        </w:rPr>
        <w:t xml:space="preserve">– </w:t>
      </w:r>
      <w:r w:rsidR="004E7E57" w:rsidRPr="000C081F">
        <w:rPr>
          <w:rFonts w:asciiTheme="minorHAnsi" w:eastAsia="Calibri" w:hAnsiTheme="minorHAnsi" w:cs="Calibri"/>
          <w:color w:val="000000"/>
        </w:rPr>
        <w:t>for example, Californian or Arizona</w:t>
      </w:r>
      <w:r w:rsidR="00477A1E" w:rsidRPr="000C081F">
        <w:rPr>
          <w:rFonts w:asciiTheme="minorHAnsi" w:eastAsia="Calibri" w:hAnsiTheme="minorHAnsi" w:cs="Calibri"/>
          <w:color w:val="000000"/>
        </w:rPr>
        <w:t xml:space="preserve"> –</w:t>
      </w:r>
      <w:r w:rsidR="004E7E57" w:rsidRPr="000C081F">
        <w:rPr>
          <w:rFonts w:asciiTheme="minorHAnsi" w:eastAsia="Calibri" w:hAnsiTheme="minorHAnsi" w:cs="Calibri"/>
          <w:color w:val="000000"/>
        </w:rPr>
        <w:t xml:space="preserve"> when the dispute has multi</w:t>
      </w:r>
      <w:r w:rsidR="00FC5DDE" w:rsidRPr="000C081F">
        <w:rPr>
          <w:rFonts w:asciiTheme="minorHAnsi" w:eastAsia="Calibri" w:hAnsiTheme="minorHAnsi" w:cs="Calibri"/>
          <w:color w:val="000000"/>
        </w:rPr>
        <w:t>-</w:t>
      </w:r>
      <w:r w:rsidR="004E7E57" w:rsidRPr="000C081F">
        <w:rPr>
          <w:rFonts w:asciiTheme="minorHAnsi" w:eastAsia="Calibri" w:hAnsiTheme="minorHAnsi" w:cs="Calibri"/>
          <w:color w:val="000000"/>
        </w:rPr>
        <w:t xml:space="preserve">state dimensions. </w:t>
      </w:r>
      <w:r w:rsidR="0029563D" w:rsidRPr="000C081F">
        <w:rPr>
          <w:rFonts w:asciiTheme="minorHAnsi" w:eastAsia="Calibri" w:hAnsiTheme="minorHAnsi" w:cs="Calibri"/>
          <w:color w:val="000000"/>
        </w:rPr>
        <w:t>One of many issues here is that different legal systems, including Indigenous peoples’ legal systems, have different rules to determine which legal system should regulate when two are in play</w:t>
      </w:r>
      <w:r w:rsidR="00477A1E" w:rsidRPr="000C081F">
        <w:rPr>
          <w:rFonts w:asciiTheme="minorHAnsi" w:eastAsia="Calibri" w:hAnsiTheme="minorHAnsi" w:cs="Calibri"/>
          <w:color w:val="000000"/>
        </w:rPr>
        <w:t>.</w:t>
      </w:r>
      <w:r w:rsidR="0029563D" w:rsidRPr="000C081F">
        <w:rPr>
          <w:rFonts w:asciiTheme="minorHAnsi" w:eastAsia="Calibri" w:hAnsiTheme="minorHAnsi" w:cs="Calibri"/>
          <w:color w:val="000000"/>
        </w:rPr>
        <w:t xml:space="preserve"> </w:t>
      </w:r>
      <w:r w:rsidR="00477A1E" w:rsidRPr="000C081F">
        <w:rPr>
          <w:rFonts w:asciiTheme="minorHAnsi" w:eastAsia="Calibri" w:hAnsiTheme="minorHAnsi" w:cs="Calibri"/>
          <w:color w:val="000000"/>
        </w:rPr>
        <w:t xml:space="preserve">These are </w:t>
      </w:r>
      <w:r w:rsidR="0029563D" w:rsidRPr="000C081F">
        <w:rPr>
          <w:rFonts w:asciiTheme="minorHAnsi" w:eastAsia="Calibri" w:hAnsiTheme="minorHAnsi" w:cs="Calibri"/>
          <w:color w:val="000000"/>
        </w:rPr>
        <w:t>called “conflicts in conflicts of law</w:t>
      </w:r>
      <w:r w:rsidR="00FC5DDE" w:rsidRPr="000C081F">
        <w:rPr>
          <w:rFonts w:asciiTheme="minorHAnsi" w:eastAsia="Calibri" w:hAnsiTheme="minorHAnsi" w:cs="Calibri"/>
          <w:color w:val="000000"/>
        </w:rPr>
        <w:t>s</w:t>
      </w:r>
      <w:r w:rsidR="0029563D" w:rsidRPr="000C081F">
        <w:rPr>
          <w:rFonts w:asciiTheme="minorHAnsi" w:eastAsia="Calibri" w:hAnsiTheme="minorHAnsi" w:cs="Calibri"/>
          <w:color w:val="000000"/>
        </w:rPr>
        <w:t xml:space="preserve"> rules”.</w:t>
      </w:r>
      <w:r w:rsidR="0029563D" w:rsidRPr="000C081F">
        <w:rPr>
          <w:rStyle w:val="FootnoteReference"/>
          <w:rFonts w:asciiTheme="minorHAnsi" w:eastAsia="Calibri" w:hAnsiTheme="minorHAnsi" w:cs="Calibri"/>
          <w:color w:val="000000"/>
        </w:rPr>
        <w:footnoteReference w:id="4"/>
      </w:r>
      <w:r w:rsidR="0029563D" w:rsidRPr="000C081F">
        <w:rPr>
          <w:rFonts w:asciiTheme="minorHAnsi" w:eastAsia="Calibri" w:hAnsiTheme="minorHAnsi" w:cs="Calibri"/>
          <w:color w:val="000000"/>
        </w:rPr>
        <w:t xml:space="preserve"> </w:t>
      </w:r>
    </w:p>
    <w:p w14:paraId="1AF9DEA5" w14:textId="77777777" w:rsidR="00263B53" w:rsidRPr="000C081F" w:rsidRDefault="00263B53" w:rsidP="00663D17">
      <w:pPr>
        <w:pBdr>
          <w:top w:val="nil"/>
          <w:left w:val="nil"/>
          <w:bottom w:val="nil"/>
          <w:right w:val="nil"/>
          <w:between w:val="nil"/>
        </w:pBdr>
        <w:spacing w:line="360" w:lineRule="auto"/>
        <w:rPr>
          <w:rFonts w:asciiTheme="minorHAnsi" w:eastAsia="Calibri" w:hAnsiTheme="minorHAnsi" w:cs="Calibri"/>
        </w:rPr>
      </w:pPr>
    </w:p>
    <w:p w14:paraId="0AC35A6C" w14:textId="743943E7" w:rsidR="00667A98" w:rsidRPr="000C081F" w:rsidRDefault="000265F2" w:rsidP="00663D17">
      <w:pPr>
        <w:numPr>
          <w:ilvl w:val="0"/>
          <w:numId w:val="4"/>
        </w:num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rPr>
        <w:t xml:space="preserve">Where a state </w:t>
      </w:r>
      <w:r w:rsidR="00FD6291" w:rsidRPr="000C081F">
        <w:rPr>
          <w:rFonts w:asciiTheme="minorHAnsi" w:eastAsia="Calibri" w:hAnsiTheme="minorHAnsi" w:cs="Calibri"/>
        </w:rPr>
        <w:t>claims regulatory authority over a territory based on illegitimate or illegal grounds</w:t>
      </w:r>
      <w:r w:rsidRPr="000C081F">
        <w:rPr>
          <w:rFonts w:asciiTheme="minorHAnsi" w:eastAsia="Calibri" w:hAnsiTheme="minorHAnsi" w:cs="Calibri"/>
        </w:rPr>
        <w:t xml:space="preserve">, </w:t>
      </w:r>
      <w:r w:rsidR="00FD6291" w:rsidRPr="000C081F">
        <w:rPr>
          <w:rFonts w:asciiTheme="minorHAnsi" w:eastAsia="Calibri" w:hAnsiTheme="minorHAnsi" w:cs="Calibri"/>
        </w:rPr>
        <w:t>as is the case</w:t>
      </w:r>
      <w:r w:rsidRPr="000C081F">
        <w:rPr>
          <w:rFonts w:asciiTheme="minorHAnsi" w:eastAsia="Calibri" w:hAnsiTheme="minorHAnsi" w:cs="Calibri"/>
        </w:rPr>
        <w:t xml:space="preserve"> </w:t>
      </w:r>
      <w:r w:rsidR="00FD6291" w:rsidRPr="000C081F">
        <w:rPr>
          <w:rFonts w:asciiTheme="minorHAnsi" w:eastAsia="Calibri" w:hAnsiTheme="minorHAnsi" w:cs="Calibri"/>
        </w:rPr>
        <w:t xml:space="preserve">in many </w:t>
      </w:r>
      <w:r w:rsidRPr="000C081F">
        <w:rPr>
          <w:rFonts w:asciiTheme="minorHAnsi" w:eastAsia="Calibri" w:hAnsiTheme="minorHAnsi" w:cs="Calibri"/>
        </w:rPr>
        <w:t>colonial systems, does acknowledgement of legal pluralism</w:t>
      </w:r>
      <w:r w:rsidR="00FD6291" w:rsidRPr="000C081F">
        <w:rPr>
          <w:rFonts w:asciiTheme="minorHAnsi" w:eastAsia="Calibri" w:hAnsiTheme="minorHAnsi" w:cs="Calibri"/>
        </w:rPr>
        <w:t xml:space="preserve"> – the co-existence of Indigenous and state legal systems –</w:t>
      </w:r>
      <w:r w:rsidR="005D08F6" w:rsidRPr="000C081F">
        <w:rPr>
          <w:rFonts w:asciiTheme="minorHAnsi" w:eastAsia="Calibri" w:hAnsiTheme="minorHAnsi" w:cs="Calibri"/>
        </w:rPr>
        <w:t xml:space="preserve"> </w:t>
      </w:r>
      <w:r w:rsidR="00FD6291" w:rsidRPr="000C081F">
        <w:rPr>
          <w:rFonts w:asciiTheme="minorHAnsi" w:eastAsia="Calibri" w:hAnsiTheme="minorHAnsi" w:cs="Calibri"/>
        </w:rPr>
        <w:t xml:space="preserve">imply </w:t>
      </w:r>
      <w:r w:rsidR="00F72F12" w:rsidRPr="000C081F">
        <w:rPr>
          <w:rFonts w:asciiTheme="minorHAnsi" w:eastAsia="Calibri" w:hAnsiTheme="minorHAnsi" w:cs="Calibri"/>
        </w:rPr>
        <w:t>consent</w:t>
      </w:r>
      <w:r w:rsidR="00FD6291" w:rsidRPr="000C081F">
        <w:rPr>
          <w:rFonts w:asciiTheme="minorHAnsi" w:eastAsia="Calibri" w:hAnsiTheme="minorHAnsi" w:cs="Calibri"/>
        </w:rPr>
        <w:t xml:space="preserve"> to the imposed legal system? </w:t>
      </w:r>
    </w:p>
    <w:p w14:paraId="77C4B5CF" w14:textId="77777777" w:rsidR="00263B53" w:rsidRPr="000C081F" w:rsidRDefault="00263B53" w:rsidP="00663D17">
      <w:pPr>
        <w:pBdr>
          <w:top w:val="nil"/>
          <w:left w:val="nil"/>
          <w:bottom w:val="nil"/>
          <w:right w:val="nil"/>
          <w:between w:val="nil"/>
        </w:pBdr>
        <w:spacing w:line="360" w:lineRule="auto"/>
        <w:rPr>
          <w:rFonts w:asciiTheme="minorHAnsi" w:eastAsia="Calibri" w:hAnsiTheme="minorHAnsi" w:cs="Calibri"/>
        </w:rPr>
      </w:pPr>
    </w:p>
    <w:p w14:paraId="064D7BFA" w14:textId="6266E42C" w:rsidR="007810B4" w:rsidRPr="000C081F" w:rsidRDefault="00667A98" w:rsidP="00663D17">
      <w:pPr>
        <w:numPr>
          <w:ilvl w:val="0"/>
          <w:numId w:val="4"/>
        </w:num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color w:val="000000"/>
        </w:rPr>
        <w:t>Can</w:t>
      </w:r>
      <w:r w:rsidR="007810B4" w:rsidRPr="000C081F">
        <w:rPr>
          <w:rFonts w:asciiTheme="minorHAnsi" w:eastAsia="Calibri" w:hAnsiTheme="minorHAnsi" w:cs="Calibri"/>
          <w:color w:val="000000"/>
        </w:rPr>
        <w:t xml:space="preserve"> models of pluralism </w:t>
      </w:r>
      <w:r w:rsidR="00FD6291" w:rsidRPr="000C081F">
        <w:rPr>
          <w:rFonts w:asciiTheme="minorHAnsi" w:eastAsia="Calibri" w:hAnsiTheme="minorHAnsi" w:cs="Calibri"/>
          <w:color w:val="000000"/>
        </w:rPr>
        <w:t xml:space="preserve">post-facto legitimate and legalise dubious state claims to regulatory authority? </w:t>
      </w:r>
      <w:r w:rsidR="007810B4" w:rsidRPr="000C081F">
        <w:rPr>
          <w:rFonts w:asciiTheme="minorHAnsi" w:eastAsia="Calibri" w:hAnsiTheme="minorHAnsi" w:cs="Calibri"/>
          <w:color w:val="000000"/>
        </w:rPr>
        <w:t>Roughan</w:t>
      </w:r>
      <w:r w:rsidR="00FD6291" w:rsidRPr="000C081F">
        <w:rPr>
          <w:rFonts w:asciiTheme="minorHAnsi" w:eastAsia="Calibri" w:hAnsiTheme="minorHAnsi" w:cs="Calibri"/>
        </w:rPr>
        <w:t xml:space="preserve"> writes,</w:t>
      </w:r>
      <w:r w:rsidR="007810B4" w:rsidRPr="000C081F">
        <w:rPr>
          <w:rFonts w:asciiTheme="minorHAnsi" w:eastAsia="Calibri" w:hAnsiTheme="minorHAnsi" w:cs="Calibri"/>
          <w:color w:val="000000"/>
        </w:rPr>
        <w:t xml:space="preserve"> “</w:t>
      </w:r>
      <w:r w:rsidR="00FD6291" w:rsidRPr="000C081F">
        <w:rPr>
          <w:rFonts w:asciiTheme="minorHAnsi" w:eastAsia="Calibri" w:hAnsiTheme="minorHAnsi" w:cs="Calibri"/>
          <w:color w:val="000000"/>
        </w:rPr>
        <w:t>[r]</w:t>
      </w:r>
      <w:proofErr w:type="spellStart"/>
      <w:r w:rsidR="007810B4" w:rsidRPr="000C081F">
        <w:rPr>
          <w:rFonts w:asciiTheme="minorHAnsi" w:eastAsia="Calibri" w:hAnsiTheme="minorHAnsi" w:cs="Calibri"/>
          <w:color w:val="000000"/>
        </w:rPr>
        <w:t>escuing</w:t>
      </w:r>
      <w:proofErr w:type="spellEnd"/>
      <w:r w:rsidR="007810B4" w:rsidRPr="000C081F">
        <w:rPr>
          <w:rFonts w:asciiTheme="minorHAnsi" w:eastAsia="Calibri" w:hAnsiTheme="minorHAnsi" w:cs="Calibri"/>
          <w:color w:val="000000"/>
        </w:rPr>
        <w:t xml:space="preserve"> both legality and law’s authority requires ways of relating the legal orders without resort to mere power. Can the rule of law apply to a relationship between legal orders?”</w:t>
      </w:r>
      <w:r w:rsidR="00FD6291" w:rsidRPr="000C081F">
        <w:rPr>
          <w:rStyle w:val="FootnoteReference"/>
          <w:rFonts w:asciiTheme="minorHAnsi" w:eastAsia="Calibri" w:hAnsiTheme="minorHAnsi" w:cs="Calibri"/>
          <w:color w:val="000000"/>
        </w:rPr>
        <w:footnoteReference w:id="5"/>
      </w:r>
    </w:p>
    <w:p w14:paraId="6C71999D" w14:textId="77777777" w:rsidR="00B20692" w:rsidRPr="000C081F" w:rsidRDefault="00B20692" w:rsidP="00663D17">
      <w:pPr>
        <w:pBdr>
          <w:top w:val="nil"/>
          <w:left w:val="nil"/>
          <w:bottom w:val="nil"/>
          <w:right w:val="nil"/>
          <w:between w:val="nil"/>
        </w:pBdr>
        <w:spacing w:line="360" w:lineRule="auto"/>
        <w:rPr>
          <w:rFonts w:asciiTheme="minorHAnsi" w:eastAsia="Calibri" w:hAnsiTheme="minorHAnsi" w:cs="Calibri"/>
          <w:color w:val="000000"/>
        </w:rPr>
      </w:pPr>
    </w:p>
    <w:p w14:paraId="5C35EF3E" w14:textId="298B87BD" w:rsidR="00B20692" w:rsidRPr="000C081F" w:rsidRDefault="00B20692" w:rsidP="00663D17">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color w:val="000000"/>
        </w:rPr>
        <w:lastRenderedPageBreak/>
        <w:t xml:space="preserve">Roughan argues for a form of “inter-legality” to </w:t>
      </w:r>
      <w:r w:rsidR="0068394D" w:rsidRPr="000C081F">
        <w:rPr>
          <w:rFonts w:asciiTheme="minorHAnsi" w:eastAsia="Calibri" w:hAnsiTheme="minorHAnsi" w:cs="Calibri"/>
          <w:color w:val="000000"/>
        </w:rPr>
        <w:t>counter some of the above-mentioned concerns about hierarchy between legal systems</w:t>
      </w:r>
      <w:r w:rsidR="00F72F12" w:rsidRPr="000C081F">
        <w:rPr>
          <w:rFonts w:asciiTheme="minorHAnsi" w:eastAsia="Calibri" w:hAnsiTheme="minorHAnsi" w:cs="Calibri"/>
          <w:color w:val="000000"/>
        </w:rPr>
        <w:t>, especially power imbalance between legal systems and dominance of one over the other:</w:t>
      </w:r>
      <w:r w:rsidR="00A50DCE" w:rsidRPr="000C081F">
        <w:rPr>
          <w:rFonts w:asciiTheme="minorHAnsi" w:eastAsia="Calibri" w:hAnsiTheme="minorHAnsi" w:cs="Calibri"/>
          <w:color w:val="000000"/>
          <w:vertAlign w:val="superscript"/>
        </w:rPr>
        <w:t xml:space="preserve"> </w:t>
      </w:r>
      <w:r w:rsidR="00A50DCE" w:rsidRPr="000C081F">
        <w:rPr>
          <w:rFonts w:asciiTheme="minorHAnsi" w:eastAsia="Calibri" w:hAnsiTheme="minorHAnsi" w:cs="Calibri"/>
          <w:color w:val="000000"/>
          <w:vertAlign w:val="superscript"/>
        </w:rPr>
        <w:footnoteReference w:id="6"/>
      </w:r>
    </w:p>
    <w:p w14:paraId="0942DCCF" w14:textId="16E5C88F" w:rsidR="007810B4" w:rsidRPr="000C081F" w:rsidRDefault="007810B4" w:rsidP="00663D17">
      <w:pPr>
        <w:spacing w:line="360" w:lineRule="auto"/>
        <w:rPr>
          <w:rFonts w:asciiTheme="minorHAnsi" w:eastAsia="Calibri" w:hAnsiTheme="minorHAnsi" w:cs="Calibri"/>
          <w:color w:val="000000"/>
        </w:rPr>
      </w:pPr>
    </w:p>
    <w:p w14:paraId="3A6A4931" w14:textId="2337581D" w:rsidR="007810B4" w:rsidRPr="000C081F" w:rsidRDefault="007810B4" w:rsidP="00663D17">
      <w:pPr>
        <w:spacing w:line="360" w:lineRule="auto"/>
        <w:ind w:left="720"/>
        <w:jc w:val="both"/>
        <w:rPr>
          <w:rFonts w:asciiTheme="minorHAnsi" w:eastAsia="Calibri" w:hAnsiTheme="minorHAnsi" w:cs="Calibri"/>
          <w:color w:val="000000"/>
        </w:rPr>
      </w:pPr>
      <w:r w:rsidRPr="000C081F">
        <w:rPr>
          <w:rFonts w:asciiTheme="minorHAnsi" w:eastAsia="Calibri" w:hAnsiTheme="minorHAnsi" w:cs="Calibri"/>
          <w:color w:val="000000"/>
        </w:rPr>
        <w:t>Unlike legal forms that allow one order to unilaterally determine its relationship with the other (</w:t>
      </w:r>
      <w:r w:rsidR="00A50DCE" w:rsidRPr="000C081F">
        <w:rPr>
          <w:rFonts w:asciiTheme="minorHAnsi" w:eastAsia="Calibri" w:hAnsiTheme="minorHAnsi" w:cs="Calibri"/>
          <w:color w:val="000000"/>
        </w:rPr>
        <w:t>for example</w:t>
      </w:r>
      <w:r w:rsidRPr="000C081F">
        <w:rPr>
          <w:rFonts w:asciiTheme="minorHAnsi" w:eastAsia="Calibri" w:hAnsiTheme="minorHAnsi" w:cs="Calibri"/>
          <w:color w:val="000000"/>
        </w:rPr>
        <w:t xml:space="preserve">, conflict of laws tools) or legal forms that subject both legal orders separately to a higher legal order (in the manner of public international law), </w:t>
      </w:r>
      <w:proofErr w:type="spellStart"/>
      <w:r w:rsidRPr="000C081F">
        <w:rPr>
          <w:rFonts w:asciiTheme="minorHAnsi" w:eastAsia="Calibri" w:hAnsiTheme="minorHAnsi" w:cs="Calibri"/>
          <w:color w:val="000000"/>
        </w:rPr>
        <w:t>interlegality</w:t>
      </w:r>
      <w:proofErr w:type="spellEnd"/>
      <w:r w:rsidRPr="000C081F">
        <w:rPr>
          <w:rFonts w:asciiTheme="minorHAnsi" w:eastAsia="Calibri" w:hAnsiTheme="minorHAnsi" w:cs="Calibri"/>
          <w:color w:val="000000"/>
        </w:rPr>
        <w:t xml:space="preserve"> requires that the interaction and intersection between legal orders operates institutions and rules of engagement – rules and institutions for managing the relationship between the legal orders </w:t>
      </w:r>
      <w:r w:rsidR="00A50DCE"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that are determined and recognised by both. In simplified form, </w:t>
      </w:r>
      <w:proofErr w:type="spellStart"/>
      <w:r w:rsidRPr="000C081F">
        <w:rPr>
          <w:rFonts w:asciiTheme="minorHAnsi" w:eastAsia="Calibri" w:hAnsiTheme="minorHAnsi" w:cs="Calibri"/>
          <w:color w:val="000000"/>
        </w:rPr>
        <w:t>interlegality</w:t>
      </w:r>
      <w:proofErr w:type="spellEnd"/>
      <w:r w:rsidRPr="000C081F">
        <w:rPr>
          <w:rFonts w:asciiTheme="minorHAnsi" w:eastAsia="Calibri" w:hAnsiTheme="minorHAnsi" w:cs="Calibri"/>
          <w:color w:val="000000"/>
        </w:rPr>
        <w:t xml:space="preserve"> requires genuinely common law and genuinely shared institutions to contest its development and deployment.</w:t>
      </w:r>
    </w:p>
    <w:p w14:paraId="3CD7663A" w14:textId="77777777" w:rsidR="007810B4" w:rsidRPr="000C081F" w:rsidRDefault="007810B4" w:rsidP="00663D17">
      <w:pPr>
        <w:spacing w:line="360" w:lineRule="auto"/>
        <w:rPr>
          <w:rFonts w:asciiTheme="minorHAnsi" w:eastAsia="Calibri" w:hAnsiTheme="minorHAnsi" w:cs="Calibri"/>
        </w:rPr>
      </w:pPr>
    </w:p>
    <w:p w14:paraId="2E798428" w14:textId="7390E044" w:rsidR="007810B4" w:rsidRPr="000C081F" w:rsidRDefault="00DF107A" w:rsidP="005D08F6">
      <w:pPr>
        <w:pStyle w:val="Heading1"/>
      </w:pPr>
      <w:r w:rsidRPr="000C081F">
        <w:rPr>
          <w:sz w:val="24"/>
          <w:szCs w:val="24"/>
        </w:rPr>
        <w:t xml:space="preserve">III </w:t>
      </w:r>
      <w:r w:rsidR="00DD5D12" w:rsidRPr="000C081F">
        <w:rPr>
          <w:sz w:val="24"/>
          <w:szCs w:val="24"/>
        </w:rPr>
        <w:t xml:space="preserve">Comparative </w:t>
      </w:r>
      <w:r w:rsidR="00E851B3" w:rsidRPr="000C081F">
        <w:rPr>
          <w:sz w:val="24"/>
          <w:szCs w:val="24"/>
        </w:rPr>
        <w:t>m</w:t>
      </w:r>
      <w:r w:rsidR="007810B4" w:rsidRPr="000C081F">
        <w:rPr>
          <w:sz w:val="24"/>
          <w:szCs w:val="24"/>
        </w:rPr>
        <w:t xml:space="preserve">odels of </w:t>
      </w:r>
      <w:r w:rsidR="00E851B3" w:rsidRPr="000C081F">
        <w:rPr>
          <w:sz w:val="24"/>
          <w:szCs w:val="24"/>
        </w:rPr>
        <w:t>s</w:t>
      </w:r>
      <w:r w:rsidR="007810B4" w:rsidRPr="000C081F">
        <w:rPr>
          <w:sz w:val="24"/>
          <w:szCs w:val="24"/>
        </w:rPr>
        <w:t>elf-</w:t>
      </w:r>
      <w:r w:rsidR="00E851B3" w:rsidRPr="000C081F">
        <w:rPr>
          <w:sz w:val="24"/>
          <w:szCs w:val="24"/>
        </w:rPr>
        <w:t>d</w:t>
      </w:r>
      <w:r w:rsidR="007810B4" w:rsidRPr="000C081F">
        <w:rPr>
          <w:sz w:val="24"/>
          <w:szCs w:val="24"/>
        </w:rPr>
        <w:t>etermination</w:t>
      </w:r>
    </w:p>
    <w:p w14:paraId="06CFB825" w14:textId="77777777" w:rsidR="007810B4" w:rsidRPr="000C081F" w:rsidRDefault="007810B4" w:rsidP="00663D17">
      <w:pPr>
        <w:spacing w:line="360" w:lineRule="auto"/>
        <w:rPr>
          <w:rFonts w:asciiTheme="minorHAnsi" w:eastAsia="Calibri" w:hAnsiTheme="minorHAnsi" w:cs="Calibri"/>
          <w:b/>
          <w:shd w:val="clear" w:color="auto" w:fill="FF9900"/>
        </w:rPr>
      </w:pPr>
    </w:p>
    <w:p w14:paraId="69D80D19" w14:textId="78D9398D" w:rsidR="007810B4" w:rsidRPr="000C081F" w:rsidRDefault="007810B4" w:rsidP="00663D17">
      <w:pPr>
        <w:spacing w:line="360" w:lineRule="auto"/>
        <w:rPr>
          <w:rFonts w:asciiTheme="minorHAnsi" w:eastAsia="Calibri" w:hAnsiTheme="minorHAnsi" w:cs="Calibri"/>
        </w:rPr>
      </w:pPr>
      <w:r w:rsidRPr="000C081F">
        <w:rPr>
          <w:rFonts w:asciiTheme="minorHAnsi" w:eastAsia="Calibri" w:hAnsiTheme="minorHAnsi" w:cs="Calibri"/>
        </w:rPr>
        <w:t xml:space="preserve">What </w:t>
      </w:r>
      <w:r w:rsidR="000440DB" w:rsidRPr="000C081F">
        <w:rPr>
          <w:rFonts w:asciiTheme="minorHAnsi" w:eastAsia="Calibri" w:hAnsiTheme="minorHAnsi" w:cs="Calibri"/>
        </w:rPr>
        <w:t>models of Indigenous peoples’ self-determination do we find globally</w:t>
      </w:r>
      <w:r w:rsidRPr="000C081F">
        <w:rPr>
          <w:rFonts w:asciiTheme="minorHAnsi" w:eastAsia="Calibri" w:hAnsiTheme="minorHAnsi" w:cs="Calibri"/>
        </w:rPr>
        <w:t xml:space="preserve">? </w:t>
      </w:r>
      <w:r w:rsidR="000440DB" w:rsidRPr="000C081F">
        <w:rPr>
          <w:rFonts w:asciiTheme="minorHAnsi" w:eastAsia="Calibri" w:hAnsiTheme="minorHAnsi" w:cs="Calibri"/>
        </w:rPr>
        <w:t xml:space="preserve"> I outline here some examples</w:t>
      </w:r>
      <w:r w:rsidR="00E851B3" w:rsidRPr="000C081F">
        <w:rPr>
          <w:rFonts w:asciiTheme="minorHAnsi" w:eastAsia="Calibri" w:hAnsiTheme="minorHAnsi" w:cs="Calibri"/>
        </w:rPr>
        <w:t>. Most of these would be defined as territorial models in that they involve Indigenous peoples making law applicable on their territories.</w:t>
      </w:r>
    </w:p>
    <w:p w14:paraId="64966B03" w14:textId="77777777" w:rsidR="00DD5D12" w:rsidRPr="000C081F" w:rsidRDefault="00DD5D12" w:rsidP="00663D17">
      <w:pPr>
        <w:pBdr>
          <w:top w:val="nil"/>
          <w:left w:val="nil"/>
          <w:bottom w:val="nil"/>
          <w:right w:val="nil"/>
          <w:between w:val="nil"/>
        </w:pBdr>
        <w:spacing w:line="360" w:lineRule="auto"/>
        <w:rPr>
          <w:rFonts w:asciiTheme="minorHAnsi" w:eastAsia="Calibri" w:hAnsiTheme="minorHAnsi" w:cs="Calibri"/>
          <w:color w:val="000000"/>
        </w:rPr>
      </w:pPr>
    </w:p>
    <w:p w14:paraId="73E80DC9" w14:textId="7C87B32B" w:rsidR="007810B4" w:rsidRPr="000C081F" w:rsidRDefault="00F72F12" w:rsidP="00663D17">
      <w:pPr>
        <w:spacing w:line="360" w:lineRule="auto"/>
        <w:rPr>
          <w:rFonts w:asciiTheme="minorHAnsi" w:eastAsia="Calibri" w:hAnsiTheme="minorHAnsi" w:cs="Calibri"/>
          <w:color w:val="000000"/>
        </w:rPr>
      </w:pPr>
      <w:r w:rsidRPr="000C081F">
        <w:rPr>
          <w:rFonts w:asciiTheme="minorHAnsi" w:eastAsia="Calibri" w:hAnsiTheme="minorHAnsi" w:cs="Calibri"/>
        </w:rPr>
        <w:t>Under U</w:t>
      </w:r>
      <w:r w:rsidR="00E33EDD" w:rsidRPr="000C081F">
        <w:rPr>
          <w:rFonts w:asciiTheme="minorHAnsi" w:eastAsia="Calibri" w:hAnsiTheme="minorHAnsi" w:cs="Calibri"/>
        </w:rPr>
        <w:t xml:space="preserve">nited </w:t>
      </w:r>
      <w:r w:rsidRPr="000C081F">
        <w:rPr>
          <w:rFonts w:asciiTheme="minorHAnsi" w:eastAsia="Calibri" w:hAnsiTheme="minorHAnsi" w:cs="Calibri"/>
        </w:rPr>
        <w:t>S</w:t>
      </w:r>
      <w:r w:rsidR="00E33EDD" w:rsidRPr="000C081F">
        <w:rPr>
          <w:rFonts w:asciiTheme="minorHAnsi" w:eastAsia="Calibri" w:hAnsiTheme="minorHAnsi" w:cs="Calibri"/>
        </w:rPr>
        <w:t>tates</w:t>
      </w:r>
      <w:r w:rsidRPr="000C081F">
        <w:rPr>
          <w:rFonts w:asciiTheme="minorHAnsi" w:eastAsia="Calibri" w:hAnsiTheme="minorHAnsi" w:cs="Calibri"/>
        </w:rPr>
        <w:t xml:space="preserve"> constitutional law, </w:t>
      </w:r>
      <w:r w:rsidR="00E05F8C" w:rsidRPr="000C081F">
        <w:rPr>
          <w:rFonts w:asciiTheme="minorHAnsi" w:eastAsia="Calibri" w:hAnsiTheme="minorHAnsi" w:cs="Calibri"/>
        </w:rPr>
        <w:t>A</w:t>
      </w:r>
      <w:r w:rsidR="00353184" w:rsidRPr="000C081F">
        <w:rPr>
          <w:rFonts w:asciiTheme="minorHAnsi" w:eastAsia="Calibri" w:hAnsiTheme="minorHAnsi" w:cs="Calibri"/>
        </w:rPr>
        <w:t>merican Indian nations</w:t>
      </w:r>
      <w:r w:rsidRPr="000C081F">
        <w:rPr>
          <w:rFonts w:asciiTheme="minorHAnsi" w:eastAsia="Calibri" w:hAnsiTheme="minorHAnsi" w:cs="Calibri"/>
        </w:rPr>
        <w:t xml:space="preserve"> recognised by the state retain their</w:t>
      </w:r>
      <w:r w:rsidR="007810B4" w:rsidRPr="000C081F">
        <w:rPr>
          <w:rFonts w:asciiTheme="minorHAnsi" w:eastAsia="Calibri" w:hAnsiTheme="minorHAnsi" w:cs="Calibri"/>
        </w:rPr>
        <w:t xml:space="preserve"> inherent sovereignty</w:t>
      </w:r>
      <w:r w:rsidR="00B270BE" w:rsidRPr="000C081F">
        <w:rPr>
          <w:rFonts w:asciiTheme="minorHAnsi" w:eastAsia="Calibri" w:hAnsiTheme="minorHAnsi" w:cs="Calibri"/>
        </w:rPr>
        <w:t>. This</w:t>
      </w:r>
      <w:r w:rsidR="00353184" w:rsidRPr="000C081F">
        <w:rPr>
          <w:rFonts w:asciiTheme="minorHAnsi" w:eastAsia="Calibri" w:hAnsiTheme="minorHAnsi" w:cs="Calibri"/>
        </w:rPr>
        <w:t xml:space="preserve"> mean</w:t>
      </w:r>
      <w:r w:rsidR="00B270BE" w:rsidRPr="000C081F">
        <w:rPr>
          <w:rFonts w:asciiTheme="minorHAnsi" w:eastAsia="Calibri" w:hAnsiTheme="minorHAnsi" w:cs="Calibri"/>
        </w:rPr>
        <w:t>s</w:t>
      </w:r>
      <w:r w:rsidR="00353184" w:rsidRPr="000C081F">
        <w:rPr>
          <w:rFonts w:asciiTheme="minorHAnsi" w:eastAsia="Calibri" w:hAnsiTheme="minorHAnsi" w:cs="Calibri"/>
        </w:rPr>
        <w:t xml:space="preserve"> they retain jurisdiction – the legal authority to regulate – over their territories</w:t>
      </w:r>
      <w:r w:rsidR="00E05F8C" w:rsidRPr="000C081F">
        <w:rPr>
          <w:rFonts w:asciiTheme="minorHAnsi" w:eastAsia="Calibri" w:hAnsiTheme="minorHAnsi" w:cs="Calibri"/>
        </w:rPr>
        <w:t xml:space="preserve"> alongside Congressional authority to pass law in</w:t>
      </w:r>
      <w:r w:rsidRPr="000C081F">
        <w:rPr>
          <w:rFonts w:asciiTheme="minorHAnsi" w:eastAsia="Calibri" w:hAnsiTheme="minorHAnsi" w:cs="Calibri"/>
        </w:rPr>
        <w:t xml:space="preserve"> so-called</w:t>
      </w:r>
      <w:r w:rsidR="00E05F8C" w:rsidRPr="000C081F">
        <w:rPr>
          <w:rFonts w:asciiTheme="minorHAnsi" w:eastAsia="Calibri" w:hAnsiTheme="minorHAnsi" w:cs="Calibri"/>
        </w:rPr>
        <w:t xml:space="preserve"> Indian Country</w:t>
      </w:r>
      <w:r w:rsidR="00353184" w:rsidRPr="000C081F">
        <w:rPr>
          <w:rFonts w:asciiTheme="minorHAnsi" w:eastAsia="Calibri" w:hAnsiTheme="minorHAnsi" w:cs="Calibri"/>
        </w:rPr>
        <w:t xml:space="preserve">. </w:t>
      </w:r>
      <w:r w:rsidRPr="000C081F">
        <w:rPr>
          <w:rFonts w:asciiTheme="minorHAnsi" w:eastAsia="Calibri" w:hAnsiTheme="minorHAnsi" w:cs="Calibri"/>
        </w:rPr>
        <w:t>The U</w:t>
      </w:r>
      <w:r w:rsidR="00E33EDD" w:rsidRPr="000C081F">
        <w:rPr>
          <w:rFonts w:asciiTheme="minorHAnsi" w:eastAsia="Calibri" w:hAnsiTheme="minorHAnsi" w:cs="Calibri"/>
        </w:rPr>
        <w:t xml:space="preserve">nited </w:t>
      </w:r>
      <w:r w:rsidRPr="000C081F">
        <w:rPr>
          <w:rFonts w:asciiTheme="minorHAnsi" w:eastAsia="Calibri" w:hAnsiTheme="minorHAnsi" w:cs="Calibri"/>
        </w:rPr>
        <w:t>S</w:t>
      </w:r>
      <w:r w:rsidR="00E33EDD" w:rsidRPr="000C081F">
        <w:rPr>
          <w:rFonts w:asciiTheme="minorHAnsi" w:eastAsia="Calibri" w:hAnsiTheme="minorHAnsi" w:cs="Calibri"/>
        </w:rPr>
        <w:t>tates</w:t>
      </w:r>
      <w:r w:rsidRPr="000C081F">
        <w:rPr>
          <w:rFonts w:asciiTheme="minorHAnsi" w:eastAsia="Calibri" w:hAnsiTheme="minorHAnsi" w:cs="Calibri"/>
        </w:rPr>
        <w:t xml:space="preserve"> recognises almost 600 Indian nations. </w:t>
      </w:r>
      <w:r w:rsidR="00E05F8C" w:rsidRPr="000C081F">
        <w:rPr>
          <w:rFonts w:asciiTheme="minorHAnsi" w:eastAsia="Calibri" w:hAnsiTheme="minorHAnsi" w:cs="Calibri"/>
          <w:color w:val="000000"/>
        </w:rPr>
        <w:t>Moreover, treaties between the U</w:t>
      </w:r>
      <w:r w:rsidR="00E33EDD" w:rsidRPr="000C081F">
        <w:rPr>
          <w:rFonts w:asciiTheme="minorHAnsi" w:eastAsia="Calibri" w:hAnsiTheme="minorHAnsi" w:cs="Calibri"/>
          <w:color w:val="000000"/>
        </w:rPr>
        <w:t xml:space="preserve">nited </w:t>
      </w:r>
      <w:r w:rsidR="00E05F8C" w:rsidRPr="000C081F">
        <w:rPr>
          <w:rFonts w:asciiTheme="minorHAnsi" w:eastAsia="Calibri" w:hAnsiTheme="minorHAnsi" w:cs="Calibri"/>
          <w:color w:val="000000"/>
        </w:rPr>
        <w:t>S</w:t>
      </w:r>
      <w:r w:rsidR="00E33EDD" w:rsidRPr="000C081F">
        <w:rPr>
          <w:rFonts w:asciiTheme="minorHAnsi" w:eastAsia="Calibri" w:hAnsiTheme="minorHAnsi" w:cs="Calibri"/>
          <w:color w:val="000000"/>
        </w:rPr>
        <w:t>tates</w:t>
      </w:r>
      <w:r w:rsidR="00E05F8C" w:rsidRPr="000C081F">
        <w:rPr>
          <w:rFonts w:asciiTheme="minorHAnsi" w:eastAsia="Calibri" w:hAnsiTheme="minorHAnsi" w:cs="Calibri"/>
          <w:color w:val="000000"/>
        </w:rPr>
        <w:t xml:space="preserve"> and American Indians </w:t>
      </w:r>
      <w:r w:rsidR="007810B4" w:rsidRPr="000C081F">
        <w:rPr>
          <w:rFonts w:asciiTheme="minorHAnsi" w:eastAsia="Calibri" w:hAnsiTheme="minorHAnsi" w:cs="Calibri"/>
        </w:rPr>
        <w:t>have the</w:t>
      </w:r>
      <w:r w:rsidR="007810B4" w:rsidRPr="000C081F">
        <w:rPr>
          <w:rFonts w:asciiTheme="minorHAnsi" w:eastAsia="Calibri" w:hAnsiTheme="minorHAnsi" w:cs="Calibri"/>
          <w:color w:val="000000"/>
        </w:rPr>
        <w:t xml:space="preserve"> status of federal law and trump inconsistent state law.</w:t>
      </w:r>
      <w:r w:rsidRPr="000C081F">
        <w:rPr>
          <w:rStyle w:val="FootnoteReference"/>
          <w:rFonts w:asciiTheme="minorHAnsi" w:eastAsia="Calibri" w:hAnsiTheme="minorHAnsi" w:cs="Calibri"/>
          <w:color w:val="000000"/>
        </w:rPr>
        <w:footnoteReference w:id="7"/>
      </w:r>
      <w:r w:rsidR="007810B4" w:rsidRPr="000C081F">
        <w:rPr>
          <w:rFonts w:asciiTheme="minorHAnsi" w:eastAsia="Calibri" w:hAnsiTheme="minorHAnsi" w:cs="Calibri"/>
          <w:color w:val="000000"/>
        </w:rPr>
        <w:t xml:space="preserve">  </w:t>
      </w:r>
    </w:p>
    <w:p w14:paraId="6F7AB688" w14:textId="34FB733A" w:rsidR="00591FF1" w:rsidRPr="000C081F" w:rsidRDefault="00591FF1" w:rsidP="00663D17">
      <w:pPr>
        <w:pBdr>
          <w:top w:val="nil"/>
          <w:left w:val="nil"/>
          <w:bottom w:val="nil"/>
          <w:right w:val="nil"/>
          <w:between w:val="nil"/>
        </w:pBdr>
        <w:spacing w:line="360" w:lineRule="auto"/>
        <w:rPr>
          <w:rFonts w:asciiTheme="minorHAnsi" w:eastAsia="Calibri" w:hAnsiTheme="minorHAnsi" w:cs="Calibri"/>
          <w:i/>
          <w:iCs/>
          <w:color w:val="000000"/>
        </w:rPr>
      </w:pPr>
    </w:p>
    <w:p w14:paraId="05C3F7D6" w14:textId="3DCFBBEF" w:rsidR="00982B33" w:rsidRPr="000C081F" w:rsidRDefault="00E05F8C"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In Canada, provincial and federal governments recognise First Nations’ self-determination in modern-day treaties and legislation implementing the U</w:t>
      </w:r>
      <w:r w:rsidR="001A45C7" w:rsidRPr="000C081F">
        <w:rPr>
          <w:rFonts w:asciiTheme="minorHAnsi" w:eastAsia="Calibri" w:hAnsiTheme="minorHAnsi" w:cs="Calibri"/>
          <w:color w:val="000000"/>
        </w:rPr>
        <w:t xml:space="preserve">nited </w:t>
      </w:r>
      <w:r w:rsidRPr="000C081F">
        <w:rPr>
          <w:rFonts w:asciiTheme="minorHAnsi" w:eastAsia="Calibri" w:hAnsiTheme="minorHAnsi" w:cs="Calibri"/>
          <w:color w:val="000000"/>
        </w:rPr>
        <w:t>N</w:t>
      </w:r>
      <w:r w:rsidR="001A45C7" w:rsidRPr="000C081F">
        <w:rPr>
          <w:rFonts w:asciiTheme="minorHAnsi" w:eastAsia="Calibri" w:hAnsiTheme="minorHAnsi" w:cs="Calibri"/>
          <w:color w:val="000000"/>
        </w:rPr>
        <w:t>ations</w:t>
      </w:r>
      <w:r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lastRenderedPageBreak/>
        <w:t>Declaration on the Rights of Indigenous Peoples.</w:t>
      </w:r>
      <w:r w:rsidR="00591FF1" w:rsidRPr="000C081F">
        <w:rPr>
          <w:rStyle w:val="FootnoteReference"/>
          <w:rFonts w:asciiTheme="minorHAnsi" w:eastAsia="Calibri" w:hAnsiTheme="minorHAnsi" w:cs="Calibri"/>
          <w:color w:val="000000"/>
        </w:rPr>
        <w:footnoteReference w:id="8"/>
      </w:r>
      <w:r w:rsidR="00EC3119" w:rsidRPr="000C081F">
        <w:rPr>
          <w:rFonts w:asciiTheme="minorHAnsi" w:eastAsia="Calibri" w:hAnsiTheme="minorHAnsi" w:cs="Calibri"/>
          <w:color w:val="000000"/>
        </w:rPr>
        <w:t xml:space="preserve"> </w:t>
      </w:r>
      <w:r w:rsidR="007314E9" w:rsidRPr="000C081F">
        <w:rPr>
          <w:rFonts w:asciiTheme="minorHAnsi" w:eastAsia="Calibri" w:hAnsiTheme="minorHAnsi" w:cs="Calibri"/>
          <w:color w:val="000000"/>
        </w:rPr>
        <w:t xml:space="preserve">The Nisga’a </w:t>
      </w:r>
      <w:r w:rsidR="00DD27AE" w:rsidRPr="000C081F">
        <w:rPr>
          <w:rFonts w:asciiTheme="minorHAnsi" w:eastAsia="Calibri" w:hAnsiTheme="minorHAnsi" w:cs="Calibri"/>
          <w:color w:val="000000"/>
        </w:rPr>
        <w:t>settlement is</w:t>
      </w:r>
      <w:r w:rsidR="007314E9" w:rsidRPr="000C081F">
        <w:rPr>
          <w:rFonts w:asciiTheme="minorHAnsi" w:eastAsia="Calibri" w:hAnsiTheme="minorHAnsi" w:cs="Calibri"/>
          <w:color w:val="000000"/>
        </w:rPr>
        <w:t xml:space="preserve"> </w:t>
      </w:r>
      <w:r w:rsidR="00DD27AE" w:rsidRPr="000C081F">
        <w:rPr>
          <w:rFonts w:asciiTheme="minorHAnsi" w:eastAsia="Calibri" w:hAnsiTheme="minorHAnsi" w:cs="Calibri"/>
          <w:color w:val="000000"/>
        </w:rPr>
        <w:t>an</w:t>
      </w:r>
      <w:r w:rsidR="007314E9" w:rsidRPr="000C081F">
        <w:rPr>
          <w:rFonts w:asciiTheme="minorHAnsi" w:eastAsia="Calibri" w:hAnsiTheme="minorHAnsi" w:cs="Calibri"/>
          <w:color w:val="000000"/>
        </w:rPr>
        <w:t xml:space="preserve"> example of a contemporary treat</w:t>
      </w:r>
      <w:r w:rsidR="00DD27AE" w:rsidRPr="000C081F">
        <w:rPr>
          <w:rFonts w:asciiTheme="minorHAnsi" w:eastAsia="Calibri" w:hAnsiTheme="minorHAnsi" w:cs="Calibri"/>
          <w:color w:val="000000"/>
        </w:rPr>
        <w:t>y</w:t>
      </w:r>
      <w:r w:rsidR="007314E9" w:rsidRPr="000C081F">
        <w:rPr>
          <w:rFonts w:asciiTheme="minorHAnsi" w:eastAsia="Calibri" w:hAnsiTheme="minorHAnsi" w:cs="Calibri"/>
          <w:color w:val="000000"/>
        </w:rPr>
        <w:t xml:space="preserve"> that includes arrangements for ongoing regulation by First Nations</w:t>
      </w:r>
      <w:r w:rsidR="00DD27AE" w:rsidRPr="000C081F">
        <w:rPr>
          <w:rFonts w:asciiTheme="minorHAnsi" w:eastAsia="Calibri" w:hAnsiTheme="minorHAnsi" w:cs="Calibri"/>
          <w:color w:val="000000"/>
        </w:rPr>
        <w:t xml:space="preserve"> over their territories and peoples</w:t>
      </w:r>
      <w:r w:rsidR="007314E9" w:rsidRPr="000C081F">
        <w:rPr>
          <w:rFonts w:asciiTheme="minorHAnsi" w:eastAsia="Calibri" w:hAnsiTheme="minorHAnsi" w:cs="Calibri"/>
          <w:color w:val="000000"/>
        </w:rPr>
        <w:t xml:space="preserve"> </w:t>
      </w:r>
      <w:r w:rsidR="00DD27AE" w:rsidRPr="000C081F">
        <w:rPr>
          <w:rFonts w:asciiTheme="minorHAnsi" w:eastAsia="Calibri" w:hAnsiTheme="minorHAnsi" w:cs="Calibri"/>
          <w:color w:val="000000"/>
        </w:rPr>
        <w:t>in accordance with</w:t>
      </w:r>
      <w:r w:rsidR="007314E9" w:rsidRPr="000C081F">
        <w:rPr>
          <w:rFonts w:asciiTheme="minorHAnsi" w:eastAsia="Calibri" w:hAnsiTheme="minorHAnsi" w:cs="Calibri"/>
          <w:color w:val="000000"/>
        </w:rPr>
        <w:t xml:space="preserve"> their law.</w:t>
      </w:r>
      <w:r w:rsidR="007314E9" w:rsidRPr="000C081F">
        <w:rPr>
          <w:rStyle w:val="FootnoteReference"/>
          <w:rFonts w:asciiTheme="minorHAnsi" w:eastAsia="Calibri" w:hAnsiTheme="minorHAnsi" w:cs="Calibri"/>
          <w:color w:val="000000"/>
        </w:rPr>
        <w:footnoteReference w:id="9"/>
      </w:r>
      <w:r w:rsidR="007314E9" w:rsidRPr="000C081F">
        <w:rPr>
          <w:rFonts w:asciiTheme="minorHAnsi" w:eastAsia="Calibri" w:hAnsiTheme="minorHAnsi" w:cs="Calibri"/>
          <w:color w:val="000000"/>
        </w:rPr>
        <w:t xml:space="preserve"> In a 2024 decision, the Supreme Court </w:t>
      </w:r>
      <w:r w:rsidR="00982B33" w:rsidRPr="000C081F">
        <w:rPr>
          <w:rFonts w:asciiTheme="minorHAnsi" w:eastAsia="Calibri" w:hAnsiTheme="minorHAnsi" w:cs="Calibri"/>
          <w:color w:val="000000"/>
        </w:rPr>
        <w:t xml:space="preserve">of Canada </w:t>
      </w:r>
      <w:r w:rsidR="00591FF1" w:rsidRPr="000C081F">
        <w:rPr>
          <w:rFonts w:asciiTheme="minorHAnsi" w:eastAsia="Calibri" w:hAnsiTheme="minorHAnsi" w:cs="Calibri"/>
          <w:color w:val="000000"/>
        </w:rPr>
        <w:t xml:space="preserve">upheld legislation recognising First Nations’ jurisdiction with respect to </w:t>
      </w:r>
      <w:r w:rsidR="003D229D" w:rsidRPr="000C081F">
        <w:rPr>
          <w:rFonts w:asciiTheme="minorHAnsi" w:eastAsia="Calibri" w:hAnsiTheme="minorHAnsi" w:cs="Calibri"/>
          <w:color w:val="000000"/>
        </w:rPr>
        <w:t>child and family services.</w:t>
      </w:r>
      <w:r w:rsidR="00591FF1" w:rsidRPr="000C081F">
        <w:rPr>
          <w:rStyle w:val="FootnoteReference"/>
          <w:rFonts w:asciiTheme="minorHAnsi" w:eastAsia="Calibri" w:hAnsiTheme="minorHAnsi" w:cs="Calibri"/>
          <w:color w:val="000000"/>
        </w:rPr>
        <w:footnoteReference w:id="10"/>
      </w:r>
      <w:r w:rsidR="007314E9"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 xml:space="preserve">Where </w:t>
      </w:r>
      <w:r w:rsidR="007314E9" w:rsidRPr="000C081F">
        <w:rPr>
          <w:rFonts w:asciiTheme="minorHAnsi" w:eastAsia="Calibri" w:hAnsiTheme="minorHAnsi" w:cs="Calibri"/>
          <w:color w:val="000000"/>
        </w:rPr>
        <w:t>First Nations prove native title over their lands, their laws regulate those territories, albeit subject to some restrictions.</w:t>
      </w:r>
      <w:r w:rsidR="007314E9" w:rsidRPr="000C081F">
        <w:rPr>
          <w:rStyle w:val="FootnoteReference"/>
          <w:rFonts w:asciiTheme="minorHAnsi" w:eastAsia="Calibri" w:hAnsiTheme="minorHAnsi" w:cs="Calibri"/>
          <w:color w:val="000000"/>
        </w:rPr>
        <w:footnoteReference w:id="11"/>
      </w:r>
      <w:r w:rsidR="007314E9" w:rsidRPr="000C081F">
        <w:rPr>
          <w:rFonts w:asciiTheme="minorHAnsi" w:eastAsia="Calibri" w:hAnsiTheme="minorHAnsi" w:cs="Calibri"/>
          <w:color w:val="000000"/>
        </w:rPr>
        <w:t xml:space="preserve">  </w:t>
      </w:r>
    </w:p>
    <w:p w14:paraId="45167614" w14:textId="77777777" w:rsidR="00982B33" w:rsidRPr="000C081F" w:rsidRDefault="00982B33" w:rsidP="00663D17">
      <w:pPr>
        <w:pBdr>
          <w:top w:val="nil"/>
          <w:left w:val="nil"/>
          <w:bottom w:val="nil"/>
          <w:right w:val="nil"/>
          <w:between w:val="nil"/>
        </w:pBdr>
        <w:spacing w:line="360" w:lineRule="auto"/>
        <w:rPr>
          <w:rFonts w:asciiTheme="minorHAnsi" w:eastAsia="Calibri" w:hAnsiTheme="minorHAnsi" w:cs="Calibri"/>
          <w:color w:val="000000"/>
        </w:rPr>
      </w:pPr>
    </w:p>
    <w:p w14:paraId="2C56833C" w14:textId="24993482" w:rsidR="00E16A84" w:rsidRPr="000C081F" w:rsidRDefault="00982B33" w:rsidP="00663D17">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color w:val="000000"/>
        </w:rPr>
        <w:t>In Australia, when a</w:t>
      </w:r>
      <w:r w:rsidR="00E16A84" w:rsidRPr="000C081F">
        <w:rPr>
          <w:rFonts w:asciiTheme="minorHAnsi" w:eastAsia="Calibri" w:hAnsiTheme="minorHAnsi" w:cs="Calibri"/>
          <w:color w:val="000000"/>
        </w:rPr>
        <w:t xml:space="preserve"> claim to </w:t>
      </w:r>
      <w:r w:rsidRPr="000C081F">
        <w:rPr>
          <w:rFonts w:asciiTheme="minorHAnsi" w:eastAsia="Calibri" w:hAnsiTheme="minorHAnsi" w:cs="Calibri"/>
          <w:color w:val="000000"/>
        </w:rPr>
        <w:t xml:space="preserve">aboriginal title is upheld, the </w:t>
      </w:r>
      <w:r w:rsidR="00E16A84" w:rsidRPr="000C081F">
        <w:rPr>
          <w:rFonts w:asciiTheme="minorHAnsi" w:eastAsia="Calibri" w:hAnsiTheme="minorHAnsi" w:cs="Calibri"/>
          <w:color w:val="000000"/>
        </w:rPr>
        <w:t xml:space="preserve">Indigenous </w:t>
      </w:r>
      <w:r w:rsidRPr="000C081F">
        <w:rPr>
          <w:rFonts w:asciiTheme="minorHAnsi" w:eastAsia="Calibri" w:hAnsiTheme="minorHAnsi" w:cs="Calibri"/>
          <w:color w:val="000000"/>
        </w:rPr>
        <w:t>laws regulating that land are recognised. Moreover, in ongoing treaty negotiations between states and Aboriginal peoples, with Victoria top of mind, there appears to be an openness to recognising Aboriginal self-determination.</w:t>
      </w:r>
      <w:r w:rsidRPr="000C081F">
        <w:rPr>
          <w:rStyle w:val="FootnoteReference"/>
          <w:rFonts w:asciiTheme="minorHAnsi" w:eastAsia="Calibri" w:hAnsiTheme="minorHAnsi" w:cs="Calibri"/>
          <w:color w:val="000000"/>
        </w:rPr>
        <w:footnoteReference w:id="12"/>
      </w:r>
      <w:r w:rsidRPr="000C081F">
        <w:rPr>
          <w:rFonts w:asciiTheme="minorHAnsi" w:eastAsia="Calibri" w:hAnsiTheme="minorHAnsi" w:cs="Calibri"/>
          <w:color w:val="000000"/>
        </w:rPr>
        <w:t xml:space="preserve"> </w:t>
      </w:r>
      <w:r w:rsidR="001A45C7" w:rsidRPr="000C081F">
        <w:rPr>
          <w:rFonts w:asciiTheme="minorHAnsi" w:eastAsia="Calibri" w:hAnsiTheme="minorHAnsi" w:cs="Calibri"/>
          <w:color w:val="000000"/>
        </w:rPr>
        <w:t>Additionally</w:t>
      </w:r>
      <w:r w:rsidRPr="000C081F">
        <w:rPr>
          <w:rFonts w:asciiTheme="minorHAnsi" w:eastAsia="Calibri" w:hAnsiTheme="minorHAnsi" w:cs="Calibri"/>
          <w:color w:val="000000"/>
        </w:rPr>
        <w:t xml:space="preserve">, the Queensland </w:t>
      </w:r>
      <w:r w:rsidR="00E16A84" w:rsidRPr="000C081F">
        <w:rPr>
          <w:rFonts w:asciiTheme="minorHAnsi" w:eastAsia="Calibri" w:hAnsiTheme="minorHAnsi" w:cs="Calibri"/>
          <w:color w:val="000000"/>
        </w:rPr>
        <w:t xml:space="preserve">Human Rights Act 2019 </w:t>
      </w:r>
      <w:r w:rsidR="004B1960" w:rsidRPr="000C081F">
        <w:rPr>
          <w:rFonts w:asciiTheme="minorHAnsi" w:eastAsia="Calibri" w:hAnsiTheme="minorHAnsi" w:cs="Calibri"/>
          <w:color w:val="000000"/>
        </w:rPr>
        <w:t xml:space="preserve">(Qld) </w:t>
      </w:r>
      <w:r w:rsidR="00E16A84" w:rsidRPr="000C081F">
        <w:rPr>
          <w:rFonts w:asciiTheme="minorHAnsi" w:eastAsia="Calibri" w:hAnsiTheme="minorHAnsi" w:cs="Calibri"/>
          <w:color w:val="000000"/>
        </w:rPr>
        <w:t xml:space="preserve">preamble </w:t>
      </w:r>
      <w:r w:rsidR="00E16A84" w:rsidRPr="000C081F">
        <w:rPr>
          <w:rFonts w:asciiTheme="minorHAnsi" w:eastAsia="Calibri" w:hAnsiTheme="minorHAnsi" w:cs="Calibri"/>
        </w:rPr>
        <w:t xml:space="preserve">recognises </w:t>
      </w:r>
      <w:r w:rsidR="001A45C7" w:rsidRPr="000C081F">
        <w:rPr>
          <w:rFonts w:asciiTheme="minorHAnsi" w:eastAsia="Calibri" w:hAnsiTheme="minorHAnsi" w:cs="Calibri"/>
        </w:rPr>
        <w:t>A</w:t>
      </w:r>
      <w:r w:rsidR="00E16A84" w:rsidRPr="000C081F">
        <w:rPr>
          <w:rFonts w:asciiTheme="minorHAnsi" w:eastAsia="Calibri" w:hAnsiTheme="minorHAnsi" w:cs="Calibri"/>
        </w:rPr>
        <w:t>boriginal self</w:t>
      </w:r>
      <w:r w:rsidR="001A45C7" w:rsidRPr="000C081F">
        <w:rPr>
          <w:rFonts w:asciiTheme="minorHAnsi" w:eastAsia="Calibri" w:hAnsiTheme="minorHAnsi" w:cs="Calibri"/>
        </w:rPr>
        <w:t>-</w:t>
      </w:r>
      <w:r w:rsidR="00E16A84" w:rsidRPr="000C081F">
        <w:rPr>
          <w:rFonts w:asciiTheme="minorHAnsi" w:eastAsia="Calibri" w:hAnsiTheme="minorHAnsi" w:cs="Calibri"/>
        </w:rPr>
        <w:t xml:space="preserve">determination and </w:t>
      </w:r>
      <w:proofErr w:type="spellStart"/>
      <w:r w:rsidR="004B1960" w:rsidRPr="000C081F">
        <w:rPr>
          <w:rFonts w:asciiTheme="minorHAnsi" w:eastAsia="Calibri" w:hAnsiTheme="minorHAnsi" w:cs="Calibri"/>
          <w:i/>
          <w:iCs/>
        </w:rPr>
        <w:t>K</w:t>
      </w:r>
      <w:r w:rsidR="00E16A84" w:rsidRPr="000C081F">
        <w:rPr>
          <w:rFonts w:asciiTheme="minorHAnsi" w:eastAsia="Calibri" w:hAnsiTheme="minorHAnsi" w:cs="Calibri"/>
          <w:i/>
          <w:iCs/>
        </w:rPr>
        <w:t>astom</w:t>
      </w:r>
      <w:proofErr w:type="spellEnd"/>
      <w:r w:rsidR="00F75DCC" w:rsidRPr="000C081F">
        <w:rPr>
          <w:rFonts w:asciiTheme="minorHAnsi" w:eastAsia="Calibri" w:hAnsiTheme="minorHAnsi" w:cs="Calibri"/>
        </w:rPr>
        <w:t xml:space="preserve">, and </w:t>
      </w:r>
      <w:r w:rsidR="001A45C7" w:rsidRPr="000C081F">
        <w:rPr>
          <w:rFonts w:asciiTheme="minorHAnsi" w:eastAsia="Calibri" w:hAnsiTheme="minorHAnsi" w:cs="Calibri"/>
        </w:rPr>
        <w:t xml:space="preserve">various </w:t>
      </w:r>
      <w:r w:rsidR="00E16A84" w:rsidRPr="000C081F">
        <w:rPr>
          <w:rFonts w:asciiTheme="minorHAnsi" w:eastAsia="Calibri" w:hAnsiTheme="minorHAnsi" w:cs="Calibri"/>
        </w:rPr>
        <w:t>Indigenous-specific cultural rights</w:t>
      </w:r>
      <w:r w:rsidR="00F75DCC" w:rsidRPr="000C081F">
        <w:rPr>
          <w:rFonts w:asciiTheme="minorHAnsi" w:eastAsia="Calibri" w:hAnsiTheme="minorHAnsi" w:cs="Calibri"/>
        </w:rPr>
        <w:t xml:space="preserve"> are included in the body of the legislation</w:t>
      </w:r>
      <w:r w:rsidR="00E16A84" w:rsidRPr="000C081F">
        <w:rPr>
          <w:rFonts w:asciiTheme="minorHAnsi" w:eastAsia="Calibri" w:hAnsiTheme="minorHAnsi" w:cs="Calibri"/>
        </w:rPr>
        <w:t>.</w:t>
      </w:r>
    </w:p>
    <w:p w14:paraId="26706800" w14:textId="0DF550AB" w:rsidR="00982B33" w:rsidRPr="000C081F" w:rsidRDefault="00982B33" w:rsidP="00663D17">
      <w:pPr>
        <w:pBdr>
          <w:top w:val="nil"/>
          <w:left w:val="nil"/>
          <w:bottom w:val="nil"/>
          <w:right w:val="nil"/>
          <w:between w:val="nil"/>
        </w:pBdr>
        <w:spacing w:line="360" w:lineRule="auto"/>
        <w:rPr>
          <w:rFonts w:asciiTheme="minorHAnsi" w:eastAsia="Calibri" w:hAnsiTheme="minorHAnsi" w:cs="Calibri"/>
          <w:color w:val="000000"/>
        </w:rPr>
      </w:pPr>
    </w:p>
    <w:p w14:paraId="2C062E76" w14:textId="7F059EA5" w:rsidR="00632278" w:rsidRPr="000C081F" w:rsidRDefault="00F75DCC"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Saami Parliaments in Norway, Finland and Sweden are well-known.</w:t>
      </w:r>
      <w:r w:rsidR="004B1960" w:rsidRPr="000C081F">
        <w:rPr>
          <w:rStyle w:val="FootnoteReference"/>
          <w:rFonts w:asciiTheme="minorHAnsi" w:eastAsia="Calibri" w:hAnsiTheme="minorHAnsi" w:cs="Calibri"/>
          <w:color w:val="000000"/>
        </w:rPr>
        <w:footnoteReference w:id="13"/>
      </w:r>
      <w:r w:rsidRPr="000C081F">
        <w:rPr>
          <w:rFonts w:asciiTheme="minorHAnsi" w:eastAsia="Calibri" w:hAnsiTheme="minorHAnsi" w:cs="Calibri"/>
          <w:color w:val="000000"/>
        </w:rPr>
        <w:t xml:space="preserve"> Each is different</w:t>
      </w:r>
      <w:r w:rsidR="00044EF3"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but they all exercise political power with respect to Saami issues, including administrative authority. </w:t>
      </w:r>
    </w:p>
    <w:p w14:paraId="2F7FAC36" w14:textId="15B4C0A7"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p>
    <w:p w14:paraId="43F4E126" w14:textId="07EEAF4F" w:rsidR="00632278" w:rsidRPr="000C081F" w:rsidRDefault="00632278"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Examples of Indi</w:t>
      </w:r>
      <w:r w:rsidR="00482376" w:rsidRPr="000C081F">
        <w:rPr>
          <w:rFonts w:asciiTheme="minorHAnsi" w:eastAsia="Calibri" w:hAnsiTheme="minorHAnsi" w:cs="Calibri"/>
          <w:color w:val="000000"/>
        </w:rPr>
        <w:t>g</w:t>
      </w:r>
      <w:r w:rsidRPr="000C081F">
        <w:rPr>
          <w:rFonts w:asciiTheme="minorHAnsi" w:eastAsia="Calibri" w:hAnsiTheme="minorHAnsi" w:cs="Calibri"/>
          <w:color w:val="000000"/>
        </w:rPr>
        <w:t xml:space="preserve">enous peoples’ regulatory authority in Latin America abound, often recognised under constitutional law. Mexico is one especially important example, which is now undertaking fundamental reform to better realise Indigenous peoples’ </w:t>
      </w:r>
      <w:r w:rsidRPr="000C081F">
        <w:rPr>
          <w:rFonts w:asciiTheme="minorHAnsi" w:eastAsia="Calibri" w:hAnsiTheme="minorHAnsi" w:cs="Calibri"/>
          <w:color w:val="000000"/>
        </w:rPr>
        <w:lastRenderedPageBreak/>
        <w:t>self-determination.</w:t>
      </w:r>
      <w:r w:rsidR="00482376"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Similarly, customary law regulates much of life in many countries in the Pacific, such as Vanuatu and Samoa.</w:t>
      </w:r>
    </w:p>
    <w:p w14:paraId="60152BF8" w14:textId="77777777" w:rsidR="007810B4" w:rsidRPr="000C081F" w:rsidRDefault="007810B4" w:rsidP="00663D17">
      <w:pPr>
        <w:spacing w:line="360" w:lineRule="auto"/>
        <w:rPr>
          <w:rFonts w:asciiTheme="minorHAnsi" w:eastAsia="Calibri" w:hAnsiTheme="minorHAnsi" w:cs="Calibri"/>
          <w:color w:val="000000"/>
        </w:rPr>
      </w:pPr>
    </w:p>
    <w:p w14:paraId="118FC0F4" w14:textId="68327E09" w:rsidR="007810B4" w:rsidRPr="000C081F" w:rsidRDefault="00482376"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Finally, international human rights law </w:t>
      </w:r>
      <w:r w:rsidR="007810B4" w:rsidRPr="000C081F">
        <w:rPr>
          <w:rFonts w:asciiTheme="minorHAnsi" w:eastAsia="Calibri" w:hAnsiTheme="minorHAnsi" w:cs="Calibri"/>
        </w:rPr>
        <w:t>requires</w:t>
      </w:r>
      <w:r w:rsidR="007810B4" w:rsidRPr="000C081F">
        <w:rPr>
          <w:rFonts w:asciiTheme="minorHAnsi" w:eastAsia="Calibri" w:hAnsiTheme="minorHAnsi" w:cs="Calibri"/>
          <w:color w:val="000000"/>
        </w:rPr>
        <w:t xml:space="preserve"> states to recognise Indigenous peoples’ self-determination, laws and jurisdiction. </w:t>
      </w:r>
    </w:p>
    <w:p w14:paraId="4705856A" w14:textId="77777777" w:rsidR="00482376" w:rsidRPr="000C081F" w:rsidRDefault="00482376" w:rsidP="00663D17">
      <w:pPr>
        <w:spacing w:line="360" w:lineRule="auto"/>
        <w:rPr>
          <w:rFonts w:asciiTheme="minorHAnsi" w:eastAsia="Calibri" w:hAnsiTheme="minorHAnsi" w:cs="Calibri"/>
          <w:color w:val="000000"/>
        </w:rPr>
      </w:pPr>
    </w:p>
    <w:p w14:paraId="4C20C82C" w14:textId="07B7F641" w:rsidR="00482376" w:rsidRPr="000C081F" w:rsidRDefault="00DF107A" w:rsidP="00120ABA">
      <w:pPr>
        <w:pStyle w:val="Heading1"/>
      </w:pPr>
      <w:r w:rsidRPr="000C081F">
        <w:rPr>
          <w:sz w:val="24"/>
          <w:szCs w:val="24"/>
        </w:rPr>
        <w:t xml:space="preserve">IV </w:t>
      </w:r>
      <w:r w:rsidR="00482376" w:rsidRPr="000C081F">
        <w:rPr>
          <w:sz w:val="24"/>
          <w:szCs w:val="24"/>
        </w:rPr>
        <w:t xml:space="preserve">Assessing the </w:t>
      </w:r>
      <w:r w:rsidRPr="000C081F">
        <w:rPr>
          <w:sz w:val="24"/>
          <w:szCs w:val="24"/>
        </w:rPr>
        <w:t>E</w:t>
      </w:r>
      <w:r w:rsidR="00482376" w:rsidRPr="000C081F">
        <w:rPr>
          <w:sz w:val="24"/>
          <w:szCs w:val="24"/>
        </w:rPr>
        <w:t xml:space="preserve">ffectiveness of </w:t>
      </w:r>
      <w:r w:rsidRPr="000C081F">
        <w:rPr>
          <w:sz w:val="24"/>
          <w:szCs w:val="24"/>
        </w:rPr>
        <w:t>M</w:t>
      </w:r>
      <w:r w:rsidR="00482376" w:rsidRPr="000C081F">
        <w:rPr>
          <w:sz w:val="24"/>
          <w:szCs w:val="24"/>
        </w:rPr>
        <w:t xml:space="preserve">odels of </w:t>
      </w:r>
      <w:r w:rsidRPr="000C081F">
        <w:rPr>
          <w:sz w:val="24"/>
          <w:szCs w:val="24"/>
        </w:rPr>
        <w:t>S</w:t>
      </w:r>
      <w:r w:rsidR="00482376" w:rsidRPr="000C081F">
        <w:rPr>
          <w:sz w:val="24"/>
          <w:szCs w:val="24"/>
        </w:rPr>
        <w:t>elf-</w:t>
      </w:r>
      <w:r w:rsidRPr="000C081F">
        <w:rPr>
          <w:sz w:val="24"/>
          <w:szCs w:val="24"/>
        </w:rPr>
        <w:t>D</w:t>
      </w:r>
      <w:r w:rsidR="00482376" w:rsidRPr="000C081F">
        <w:rPr>
          <w:sz w:val="24"/>
          <w:szCs w:val="24"/>
        </w:rPr>
        <w:t xml:space="preserve">etermination, </w:t>
      </w:r>
      <w:r w:rsidRPr="000C081F">
        <w:rPr>
          <w:sz w:val="24"/>
          <w:szCs w:val="24"/>
        </w:rPr>
        <w:t>S</w:t>
      </w:r>
      <w:r w:rsidR="00482376" w:rsidRPr="000C081F">
        <w:rPr>
          <w:sz w:val="24"/>
          <w:szCs w:val="24"/>
        </w:rPr>
        <w:t>elf-</w:t>
      </w:r>
      <w:r w:rsidRPr="000C081F">
        <w:rPr>
          <w:sz w:val="24"/>
          <w:szCs w:val="24"/>
        </w:rPr>
        <w:t>G</w:t>
      </w:r>
      <w:r w:rsidR="00482376" w:rsidRPr="000C081F">
        <w:rPr>
          <w:sz w:val="24"/>
          <w:szCs w:val="24"/>
        </w:rPr>
        <w:t xml:space="preserve">overnance and </w:t>
      </w:r>
      <w:r w:rsidRPr="000C081F">
        <w:rPr>
          <w:sz w:val="24"/>
          <w:szCs w:val="24"/>
        </w:rPr>
        <w:t>S</w:t>
      </w:r>
      <w:r w:rsidR="00482376" w:rsidRPr="000C081F">
        <w:rPr>
          <w:sz w:val="24"/>
          <w:szCs w:val="24"/>
        </w:rPr>
        <w:t>elf-</w:t>
      </w:r>
      <w:r w:rsidRPr="000C081F">
        <w:rPr>
          <w:sz w:val="24"/>
          <w:szCs w:val="24"/>
        </w:rPr>
        <w:t>R</w:t>
      </w:r>
      <w:r w:rsidR="00482376" w:rsidRPr="000C081F">
        <w:rPr>
          <w:sz w:val="24"/>
          <w:szCs w:val="24"/>
        </w:rPr>
        <w:t xml:space="preserve">egulatory </w:t>
      </w:r>
      <w:r w:rsidRPr="000C081F">
        <w:rPr>
          <w:sz w:val="24"/>
          <w:szCs w:val="24"/>
        </w:rPr>
        <w:t>A</w:t>
      </w:r>
      <w:r w:rsidR="00482376" w:rsidRPr="000C081F">
        <w:rPr>
          <w:sz w:val="24"/>
          <w:szCs w:val="24"/>
        </w:rPr>
        <w:t>uthority</w:t>
      </w:r>
    </w:p>
    <w:p w14:paraId="5BC5ECA3" w14:textId="77777777" w:rsidR="007810B4" w:rsidRPr="000C081F" w:rsidRDefault="007810B4" w:rsidP="00663D17">
      <w:pPr>
        <w:spacing w:line="360" w:lineRule="auto"/>
        <w:rPr>
          <w:rFonts w:asciiTheme="minorHAnsi" w:eastAsia="Calibri" w:hAnsiTheme="minorHAnsi" w:cs="Calibri"/>
          <w:color w:val="000000"/>
        </w:rPr>
      </w:pPr>
    </w:p>
    <w:p w14:paraId="42D71579" w14:textId="0B6D9D7D" w:rsidR="007810B4" w:rsidRPr="000C081F" w:rsidRDefault="00263B53"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Considering</w:t>
      </w:r>
      <w:r w:rsidR="00E9052E" w:rsidRPr="000C081F">
        <w:rPr>
          <w:rFonts w:asciiTheme="minorHAnsi" w:eastAsia="Calibri" w:hAnsiTheme="minorHAnsi" w:cs="Calibri"/>
          <w:color w:val="000000"/>
        </w:rPr>
        <w:t xml:space="preserve"> the above-mentioned theory and comparative examples, t</w:t>
      </w:r>
      <w:r w:rsidR="00482376" w:rsidRPr="000C081F">
        <w:rPr>
          <w:rFonts w:asciiTheme="minorHAnsi" w:eastAsia="Calibri" w:hAnsiTheme="minorHAnsi" w:cs="Calibri"/>
          <w:color w:val="000000"/>
        </w:rPr>
        <w:t xml:space="preserve">here are </w:t>
      </w:r>
      <w:r w:rsidR="00E9052E" w:rsidRPr="000C081F">
        <w:rPr>
          <w:rFonts w:asciiTheme="minorHAnsi" w:eastAsia="Calibri" w:hAnsiTheme="minorHAnsi" w:cs="Calibri"/>
          <w:color w:val="000000"/>
        </w:rPr>
        <w:t xml:space="preserve">several </w:t>
      </w:r>
      <w:r w:rsidR="00482376" w:rsidRPr="000C081F">
        <w:rPr>
          <w:rFonts w:asciiTheme="minorHAnsi" w:eastAsia="Calibri" w:hAnsiTheme="minorHAnsi" w:cs="Calibri"/>
          <w:color w:val="000000"/>
        </w:rPr>
        <w:t>factors relevant to assess</w:t>
      </w:r>
      <w:r w:rsidR="00044EF3" w:rsidRPr="000C081F">
        <w:rPr>
          <w:rFonts w:asciiTheme="minorHAnsi" w:eastAsia="Calibri" w:hAnsiTheme="minorHAnsi" w:cs="Calibri"/>
          <w:color w:val="000000"/>
        </w:rPr>
        <w:t>ing</w:t>
      </w:r>
      <w:r w:rsidR="00482376" w:rsidRPr="000C081F">
        <w:rPr>
          <w:rFonts w:asciiTheme="minorHAnsi" w:eastAsia="Calibri" w:hAnsiTheme="minorHAnsi" w:cs="Calibri"/>
          <w:color w:val="000000"/>
        </w:rPr>
        <w:t xml:space="preserve"> whether </w:t>
      </w:r>
      <w:r w:rsidRPr="000C081F">
        <w:rPr>
          <w:rFonts w:asciiTheme="minorHAnsi" w:eastAsia="Calibri" w:hAnsiTheme="minorHAnsi" w:cs="Calibri"/>
          <w:color w:val="000000"/>
        </w:rPr>
        <w:t>specific</w:t>
      </w:r>
      <w:r w:rsidR="00482376" w:rsidRPr="000C081F">
        <w:rPr>
          <w:rFonts w:asciiTheme="minorHAnsi" w:eastAsia="Calibri" w:hAnsiTheme="minorHAnsi" w:cs="Calibri"/>
          <w:color w:val="000000"/>
        </w:rPr>
        <w:t xml:space="preserve"> models of </w:t>
      </w:r>
      <w:r w:rsidRPr="000C081F">
        <w:rPr>
          <w:rFonts w:asciiTheme="minorHAnsi" w:eastAsia="Calibri" w:hAnsiTheme="minorHAnsi" w:cs="Calibri"/>
          <w:color w:val="000000"/>
        </w:rPr>
        <w:t xml:space="preserve">legal pluralism realise Indigenous peoples’ </w:t>
      </w:r>
      <w:r w:rsidR="00482376" w:rsidRPr="000C081F">
        <w:rPr>
          <w:rFonts w:asciiTheme="minorHAnsi" w:eastAsia="Calibri" w:hAnsiTheme="minorHAnsi" w:cs="Calibri"/>
          <w:color w:val="000000"/>
        </w:rPr>
        <w:t>self-determination</w:t>
      </w:r>
      <w:r w:rsidR="00E9052E" w:rsidRPr="000C081F">
        <w:rPr>
          <w:rFonts w:asciiTheme="minorHAnsi" w:eastAsia="Calibri" w:hAnsiTheme="minorHAnsi" w:cs="Calibri"/>
          <w:color w:val="000000"/>
        </w:rPr>
        <w:t>. There are undoubtedly many</w:t>
      </w:r>
      <w:r w:rsidRPr="000C081F">
        <w:rPr>
          <w:rFonts w:asciiTheme="minorHAnsi" w:eastAsia="Calibri" w:hAnsiTheme="minorHAnsi" w:cs="Calibri"/>
          <w:color w:val="000000"/>
        </w:rPr>
        <w:t xml:space="preserve"> factors</w:t>
      </w:r>
      <w:r w:rsidR="00044EF3"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w:t>
      </w:r>
      <w:r w:rsidR="00E9052E" w:rsidRPr="000C081F">
        <w:rPr>
          <w:rFonts w:asciiTheme="minorHAnsi" w:eastAsia="Calibri" w:hAnsiTheme="minorHAnsi" w:cs="Calibri"/>
          <w:color w:val="000000"/>
        </w:rPr>
        <w:t>the</w:t>
      </w:r>
      <w:r w:rsidR="00044EF3" w:rsidRPr="000C081F">
        <w:rPr>
          <w:rFonts w:asciiTheme="minorHAnsi" w:eastAsia="Calibri" w:hAnsiTheme="minorHAnsi" w:cs="Calibri"/>
          <w:color w:val="000000"/>
        </w:rPr>
        <w:t xml:space="preserve"> following</w:t>
      </w:r>
      <w:r w:rsidR="00E9052E" w:rsidRPr="000C081F">
        <w:rPr>
          <w:rFonts w:asciiTheme="minorHAnsi" w:eastAsia="Calibri" w:hAnsiTheme="minorHAnsi" w:cs="Calibri"/>
          <w:color w:val="000000"/>
        </w:rPr>
        <w:t xml:space="preserve"> suffice for </w:t>
      </w:r>
      <w:r w:rsidRPr="000C081F">
        <w:rPr>
          <w:rFonts w:asciiTheme="minorHAnsi" w:eastAsia="Calibri" w:hAnsiTheme="minorHAnsi" w:cs="Calibri"/>
          <w:color w:val="000000"/>
        </w:rPr>
        <w:t>a preliminary review</w:t>
      </w:r>
      <w:r w:rsidR="00E9052E" w:rsidRPr="000C081F">
        <w:rPr>
          <w:rFonts w:asciiTheme="minorHAnsi" w:eastAsia="Calibri" w:hAnsiTheme="minorHAnsi" w:cs="Calibri"/>
          <w:color w:val="000000"/>
        </w:rPr>
        <w:t>.</w:t>
      </w:r>
    </w:p>
    <w:p w14:paraId="5C4EA9A9" w14:textId="43B09A14" w:rsidR="00482376" w:rsidRPr="000C081F" w:rsidRDefault="00482376" w:rsidP="00663D17">
      <w:pPr>
        <w:spacing w:line="360" w:lineRule="auto"/>
        <w:rPr>
          <w:rFonts w:asciiTheme="minorHAnsi" w:eastAsia="Calibri" w:hAnsiTheme="minorHAnsi" w:cs="Calibri"/>
          <w:shd w:val="clear" w:color="auto" w:fill="FFD966"/>
        </w:rPr>
      </w:pPr>
    </w:p>
    <w:p w14:paraId="47685453" w14:textId="77777777" w:rsidR="007F1D91" w:rsidRPr="000C081F" w:rsidRDefault="00E9052E" w:rsidP="00663D17">
      <w:pPr>
        <w:pStyle w:val="ListParagraph"/>
        <w:numPr>
          <w:ilvl w:val="0"/>
          <w:numId w:val="2"/>
        </w:numPr>
        <w:pBdr>
          <w:top w:val="nil"/>
          <w:left w:val="nil"/>
          <w:bottom w:val="nil"/>
          <w:right w:val="nil"/>
          <w:between w:val="nil"/>
        </w:pBdr>
        <w:spacing w:line="360" w:lineRule="auto"/>
        <w:rPr>
          <w:rFonts w:asciiTheme="minorHAnsi" w:eastAsia="Calibri" w:hAnsiTheme="minorHAnsi" w:cs="Calibri"/>
          <w:color w:val="000000"/>
        </w:rPr>
      </w:pPr>
      <w:r w:rsidRPr="00915B95">
        <w:rPr>
          <w:rFonts w:asciiTheme="minorHAnsi" w:eastAsia="Calibri" w:hAnsiTheme="minorHAnsi" w:cs="Calibri"/>
          <w:color w:val="000000"/>
        </w:rPr>
        <w:t xml:space="preserve">Does the model </w:t>
      </w:r>
      <w:r w:rsidR="007810B4" w:rsidRPr="00915B95">
        <w:rPr>
          <w:rFonts w:asciiTheme="minorHAnsi" w:eastAsia="Calibri" w:hAnsiTheme="minorHAnsi" w:cs="Calibri"/>
          <w:color w:val="000000"/>
        </w:rPr>
        <w:t>s</w:t>
      </w:r>
      <w:r w:rsidR="007810B4" w:rsidRPr="000C081F">
        <w:rPr>
          <w:rFonts w:asciiTheme="minorHAnsi" w:eastAsia="Calibri" w:hAnsiTheme="minorHAnsi" w:cs="Calibri"/>
          <w:color w:val="000000"/>
        </w:rPr>
        <w:t xml:space="preserve">atisfy Indigenous peoples’ </w:t>
      </w:r>
      <w:r w:rsidRPr="000C081F">
        <w:rPr>
          <w:rFonts w:asciiTheme="minorHAnsi" w:eastAsia="Calibri" w:hAnsiTheme="minorHAnsi" w:cs="Calibri"/>
          <w:color w:val="000000"/>
        </w:rPr>
        <w:t>claims</w:t>
      </w:r>
      <w:r w:rsidR="007810B4" w:rsidRPr="000C081F">
        <w:rPr>
          <w:rFonts w:asciiTheme="minorHAnsi" w:eastAsia="Calibri" w:hAnsiTheme="minorHAnsi" w:cs="Calibri"/>
          <w:color w:val="000000"/>
        </w:rPr>
        <w:t xml:space="preserve"> </w:t>
      </w:r>
      <w:r w:rsidR="007810B4" w:rsidRPr="000C081F">
        <w:rPr>
          <w:rFonts w:asciiTheme="minorHAnsi" w:eastAsia="Calibri" w:hAnsiTheme="minorHAnsi" w:cs="Calibri"/>
        </w:rPr>
        <w:t>for independent</w:t>
      </w:r>
      <w:r w:rsidR="007810B4" w:rsidRPr="000C081F">
        <w:rPr>
          <w:rFonts w:asciiTheme="minorHAnsi" w:eastAsia="Calibri" w:hAnsiTheme="minorHAnsi" w:cs="Calibri"/>
          <w:color w:val="000000"/>
        </w:rPr>
        <w:t xml:space="preserve"> self-determination, self-governances and legal </w:t>
      </w:r>
      <w:r w:rsidR="007810B4" w:rsidRPr="000C081F">
        <w:rPr>
          <w:rFonts w:asciiTheme="minorHAnsi" w:eastAsia="Calibri" w:hAnsiTheme="minorHAnsi" w:cs="Calibri"/>
        </w:rPr>
        <w:t>authority?</w:t>
      </w:r>
    </w:p>
    <w:p w14:paraId="793D02E3" w14:textId="11A03120" w:rsidR="007F1D91" w:rsidRPr="000C081F" w:rsidRDefault="007F1D91" w:rsidP="00663D17">
      <w:pPr>
        <w:pStyle w:val="ListParagraph"/>
        <w:pBdr>
          <w:top w:val="nil"/>
          <w:left w:val="nil"/>
          <w:bottom w:val="nil"/>
          <w:right w:val="nil"/>
          <w:between w:val="nil"/>
        </w:pBdr>
        <w:spacing w:line="360" w:lineRule="auto"/>
        <w:ind w:left="360"/>
        <w:rPr>
          <w:rFonts w:asciiTheme="minorHAnsi" w:eastAsia="Calibri" w:hAnsiTheme="minorHAnsi" w:cs="Calibri"/>
          <w:color w:val="000000"/>
        </w:rPr>
      </w:pPr>
    </w:p>
    <w:p w14:paraId="7DCFFE22" w14:textId="073F8886" w:rsidR="007810B4" w:rsidRPr="000C081F" w:rsidRDefault="007F1D91" w:rsidP="00663D17">
      <w:pPr>
        <w:pStyle w:val="ListParagraph"/>
        <w:numPr>
          <w:ilvl w:val="0"/>
          <w:numId w:val="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Does it </w:t>
      </w:r>
      <w:r w:rsidR="007810B4" w:rsidRPr="000C081F">
        <w:rPr>
          <w:rFonts w:asciiTheme="minorHAnsi" w:eastAsia="Calibri" w:hAnsiTheme="minorHAnsi" w:cs="Calibri"/>
        </w:rPr>
        <w:t>a</w:t>
      </w:r>
      <w:r w:rsidR="007810B4" w:rsidRPr="000C081F">
        <w:rPr>
          <w:rFonts w:asciiTheme="minorHAnsi" w:eastAsia="Calibri" w:hAnsiTheme="minorHAnsi" w:cs="Calibri"/>
          <w:color w:val="000000"/>
        </w:rPr>
        <w:t xml:space="preserve">ddress </w:t>
      </w:r>
      <w:r w:rsidR="00E9052E" w:rsidRPr="000C081F">
        <w:rPr>
          <w:rFonts w:asciiTheme="minorHAnsi" w:eastAsia="Calibri" w:hAnsiTheme="minorHAnsi" w:cs="Calibri"/>
          <w:color w:val="000000"/>
        </w:rPr>
        <w:t>various</w:t>
      </w:r>
      <w:r w:rsidR="007810B4" w:rsidRPr="000C081F">
        <w:rPr>
          <w:rFonts w:asciiTheme="minorHAnsi" w:eastAsia="Calibri" w:hAnsiTheme="minorHAnsi" w:cs="Calibri"/>
          <w:color w:val="000000"/>
        </w:rPr>
        <w:t xml:space="preserve"> “flaws” </w:t>
      </w:r>
      <w:r w:rsidR="00DE122F" w:rsidRPr="000C081F">
        <w:rPr>
          <w:rFonts w:asciiTheme="minorHAnsi" w:eastAsia="Calibri" w:hAnsiTheme="minorHAnsi" w:cs="Calibri"/>
          <w:color w:val="000000"/>
        </w:rPr>
        <w:t>assoc</w:t>
      </w:r>
      <w:r w:rsidR="007810B4" w:rsidRPr="000C081F">
        <w:rPr>
          <w:rFonts w:asciiTheme="minorHAnsi" w:eastAsia="Calibri" w:hAnsiTheme="minorHAnsi" w:cs="Calibri"/>
          <w:color w:val="000000"/>
        </w:rPr>
        <w:t>i</w:t>
      </w:r>
      <w:r w:rsidR="00DE122F" w:rsidRPr="000C081F">
        <w:rPr>
          <w:rFonts w:asciiTheme="minorHAnsi" w:eastAsia="Calibri" w:hAnsiTheme="minorHAnsi" w:cs="Calibri"/>
          <w:color w:val="000000"/>
        </w:rPr>
        <w:t>ated with</w:t>
      </w:r>
      <w:r w:rsidR="007810B4" w:rsidRPr="000C081F">
        <w:rPr>
          <w:rFonts w:asciiTheme="minorHAnsi" w:eastAsia="Calibri" w:hAnsiTheme="minorHAnsi" w:cs="Calibri"/>
          <w:color w:val="000000"/>
        </w:rPr>
        <w:t xml:space="preserve"> the</w:t>
      </w:r>
      <w:r w:rsidR="00E9052E" w:rsidRPr="000C081F">
        <w:rPr>
          <w:rFonts w:asciiTheme="minorHAnsi" w:eastAsia="Calibri" w:hAnsiTheme="minorHAnsi" w:cs="Calibri"/>
          <w:color w:val="000000"/>
        </w:rPr>
        <w:t xml:space="preserve"> non-consensual</w:t>
      </w:r>
      <w:r w:rsidR="007810B4" w:rsidRPr="000C081F">
        <w:rPr>
          <w:rFonts w:asciiTheme="minorHAnsi" w:eastAsia="Calibri" w:hAnsiTheme="minorHAnsi" w:cs="Calibri"/>
          <w:color w:val="000000"/>
        </w:rPr>
        <w:t xml:space="preserve"> imposition of state law on Indigenous peoples</w:t>
      </w:r>
      <w:r w:rsidR="00DE122F" w:rsidRPr="000C081F">
        <w:rPr>
          <w:rFonts w:asciiTheme="minorHAnsi" w:eastAsia="Calibri" w:hAnsiTheme="minorHAnsi" w:cs="Calibri"/>
          <w:color w:val="000000"/>
        </w:rPr>
        <w:t xml:space="preserve"> and over their laws</w:t>
      </w:r>
      <w:r w:rsidR="007810B4" w:rsidRPr="000C081F">
        <w:rPr>
          <w:rFonts w:asciiTheme="minorHAnsi" w:eastAsia="Calibri" w:hAnsiTheme="minorHAnsi" w:cs="Calibri"/>
          <w:color w:val="000000"/>
        </w:rPr>
        <w:t xml:space="preserve">, </w:t>
      </w:r>
      <w:r w:rsidR="00263B53" w:rsidRPr="000C081F">
        <w:rPr>
          <w:rFonts w:asciiTheme="minorHAnsi" w:eastAsia="Calibri" w:hAnsiTheme="minorHAnsi" w:cs="Calibri"/>
          <w:color w:val="000000"/>
        </w:rPr>
        <w:t>including a</w:t>
      </w:r>
      <w:r w:rsidR="007810B4" w:rsidRPr="000C081F">
        <w:rPr>
          <w:rFonts w:asciiTheme="minorHAnsi" w:eastAsia="Calibri" w:hAnsiTheme="minorHAnsi" w:cs="Calibri"/>
          <w:color w:val="000000"/>
        </w:rPr>
        <w:t xml:space="preserve"> lack of </w:t>
      </w:r>
      <w:r w:rsidR="00DE122F" w:rsidRPr="000C081F">
        <w:rPr>
          <w:rFonts w:asciiTheme="minorHAnsi" w:eastAsia="Calibri" w:hAnsiTheme="minorHAnsi" w:cs="Calibri"/>
          <w:color w:val="000000"/>
        </w:rPr>
        <w:t>legitimacy</w:t>
      </w:r>
      <w:r w:rsidR="00044EF3" w:rsidRPr="000C081F">
        <w:rPr>
          <w:rFonts w:asciiTheme="minorHAnsi" w:eastAsia="Calibri" w:hAnsiTheme="minorHAnsi" w:cs="Calibri"/>
          <w:color w:val="000000"/>
        </w:rPr>
        <w:t xml:space="preserve"> and</w:t>
      </w:r>
      <w:r w:rsidR="007810B4" w:rsidRPr="000C081F">
        <w:rPr>
          <w:rFonts w:asciiTheme="minorHAnsi" w:eastAsia="Calibri" w:hAnsiTheme="minorHAnsi" w:cs="Calibri"/>
          <w:color w:val="000000"/>
        </w:rPr>
        <w:t xml:space="preserve"> </w:t>
      </w:r>
      <w:r w:rsidR="00DE122F" w:rsidRPr="000C081F">
        <w:rPr>
          <w:rFonts w:asciiTheme="minorHAnsi" w:eastAsia="Calibri" w:hAnsiTheme="minorHAnsi" w:cs="Calibri"/>
          <w:color w:val="000000"/>
        </w:rPr>
        <w:t xml:space="preserve">structural </w:t>
      </w:r>
      <w:r w:rsidR="007810B4" w:rsidRPr="000C081F">
        <w:rPr>
          <w:rFonts w:asciiTheme="minorHAnsi" w:eastAsia="Calibri" w:hAnsiTheme="minorHAnsi" w:cs="Calibri"/>
          <w:color w:val="000000"/>
        </w:rPr>
        <w:t>inequality</w:t>
      </w:r>
      <w:r w:rsidR="00044EF3" w:rsidRPr="000C081F">
        <w:rPr>
          <w:rFonts w:asciiTheme="minorHAnsi" w:eastAsia="Calibri" w:hAnsiTheme="minorHAnsi" w:cs="Calibri"/>
          <w:color w:val="000000"/>
        </w:rPr>
        <w:t>,</w:t>
      </w:r>
      <w:r w:rsidR="007810B4" w:rsidRPr="000C081F">
        <w:rPr>
          <w:rFonts w:asciiTheme="minorHAnsi" w:eastAsia="Calibri" w:hAnsiTheme="minorHAnsi" w:cs="Calibri"/>
          <w:color w:val="000000"/>
        </w:rPr>
        <w:t xml:space="preserve"> and </w:t>
      </w:r>
      <w:r w:rsidR="00263B53" w:rsidRPr="000C081F">
        <w:rPr>
          <w:rFonts w:asciiTheme="minorHAnsi" w:eastAsia="Calibri" w:hAnsiTheme="minorHAnsi" w:cs="Calibri"/>
          <w:color w:val="000000"/>
        </w:rPr>
        <w:t>breach</w:t>
      </w:r>
      <w:r w:rsidR="00DE122F" w:rsidRPr="000C081F">
        <w:rPr>
          <w:rFonts w:asciiTheme="minorHAnsi" w:eastAsia="Calibri" w:hAnsiTheme="minorHAnsi" w:cs="Calibri"/>
          <w:color w:val="000000"/>
        </w:rPr>
        <w:t xml:space="preserve"> of the </w:t>
      </w:r>
      <w:r w:rsidR="007810B4" w:rsidRPr="000C081F">
        <w:rPr>
          <w:rFonts w:asciiTheme="minorHAnsi" w:eastAsia="Calibri" w:hAnsiTheme="minorHAnsi" w:cs="Calibri"/>
          <w:color w:val="000000"/>
        </w:rPr>
        <w:t>rule of law</w:t>
      </w:r>
      <w:r w:rsidR="00DE122F" w:rsidRPr="000C081F">
        <w:rPr>
          <w:rFonts w:asciiTheme="minorHAnsi" w:eastAsia="Calibri" w:hAnsiTheme="minorHAnsi" w:cs="Calibri"/>
          <w:color w:val="000000"/>
        </w:rPr>
        <w:t>?</w:t>
      </w:r>
    </w:p>
    <w:p w14:paraId="29D56958" w14:textId="6956700E" w:rsidR="00263B53" w:rsidRPr="000C081F" w:rsidRDefault="00263B53" w:rsidP="00663D17">
      <w:pPr>
        <w:pBdr>
          <w:top w:val="nil"/>
          <w:left w:val="nil"/>
          <w:bottom w:val="nil"/>
          <w:right w:val="nil"/>
          <w:between w:val="nil"/>
        </w:pBdr>
        <w:spacing w:line="360" w:lineRule="auto"/>
        <w:rPr>
          <w:rFonts w:asciiTheme="minorHAnsi" w:eastAsia="Calibri" w:hAnsiTheme="minorHAnsi" w:cs="Calibri"/>
          <w:color w:val="000000"/>
        </w:rPr>
      </w:pPr>
    </w:p>
    <w:p w14:paraId="359FA5E4" w14:textId="17171562" w:rsidR="007F1D91" w:rsidRPr="000C081F" w:rsidRDefault="00DE122F" w:rsidP="00663D17">
      <w:pPr>
        <w:numPr>
          <w:ilvl w:val="0"/>
          <w:numId w:val="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How does the model compare to forms of </w:t>
      </w:r>
      <w:r w:rsidR="00E14DEE" w:rsidRPr="000C081F">
        <w:rPr>
          <w:rFonts w:asciiTheme="minorHAnsi" w:eastAsia="Calibri" w:hAnsiTheme="minorHAnsi" w:cs="Calibri"/>
          <w:color w:val="000000"/>
        </w:rPr>
        <w:t xml:space="preserve">positive </w:t>
      </w:r>
      <w:r w:rsidRPr="000C081F">
        <w:rPr>
          <w:rFonts w:asciiTheme="minorHAnsi" w:eastAsia="Calibri" w:hAnsiTheme="minorHAnsi" w:cs="Calibri"/>
          <w:color w:val="000000"/>
        </w:rPr>
        <w:t>self-determination and legal pluralism elsewhere</w:t>
      </w:r>
      <w:r w:rsidR="00044EF3"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and, especially, in jurisdictions that share some similarity, as these evidence what is “possible” within a specific </w:t>
      </w:r>
      <w:r w:rsidR="00E14DEE" w:rsidRPr="000C081F">
        <w:rPr>
          <w:rFonts w:asciiTheme="minorHAnsi" w:eastAsia="Calibri" w:hAnsiTheme="minorHAnsi" w:cs="Calibri"/>
          <w:color w:val="000000"/>
        </w:rPr>
        <w:t>place</w:t>
      </w:r>
      <w:r w:rsidRPr="000C081F">
        <w:rPr>
          <w:rFonts w:asciiTheme="minorHAnsi" w:eastAsia="Calibri" w:hAnsiTheme="minorHAnsi" w:cs="Calibri"/>
          <w:color w:val="000000"/>
        </w:rPr>
        <w:t>?</w:t>
      </w:r>
    </w:p>
    <w:p w14:paraId="48ABECE6" w14:textId="789EA7C8" w:rsidR="007F1D91" w:rsidRPr="000C081F" w:rsidRDefault="007F1D91" w:rsidP="00663D17">
      <w:pPr>
        <w:pStyle w:val="ListParagraph"/>
        <w:spacing w:line="360" w:lineRule="auto"/>
        <w:rPr>
          <w:rFonts w:asciiTheme="minorHAnsi" w:eastAsia="Calibri" w:hAnsiTheme="minorHAnsi" w:cs="Calibri"/>
        </w:rPr>
      </w:pPr>
    </w:p>
    <w:p w14:paraId="7897E513" w14:textId="00277CB4" w:rsidR="007810B4" w:rsidRPr="000C081F" w:rsidRDefault="007F1D91" w:rsidP="00663D17">
      <w:pPr>
        <w:numPr>
          <w:ilvl w:val="0"/>
          <w:numId w:val="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Does it </w:t>
      </w:r>
      <w:r w:rsidR="007810B4" w:rsidRPr="000C081F">
        <w:rPr>
          <w:rFonts w:asciiTheme="minorHAnsi" w:eastAsia="Calibri" w:hAnsiTheme="minorHAnsi" w:cs="Calibri"/>
        </w:rPr>
        <w:t>m</w:t>
      </w:r>
      <w:r w:rsidR="007810B4" w:rsidRPr="000C081F">
        <w:rPr>
          <w:rFonts w:asciiTheme="minorHAnsi" w:eastAsia="Calibri" w:hAnsiTheme="minorHAnsi" w:cs="Calibri"/>
          <w:color w:val="000000"/>
        </w:rPr>
        <w:t>eet</w:t>
      </w:r>
      <w:r w:rsidR="00DE122F" w:rsidRPr="000C081F">
        <w:rPr>
          <w:rFonts w:asciiTheme="minorHAnsi" w:eastAsia="Calibri" w:hAnsiTheme="minorHAnsi" w:cs="Calibri"/>
          <w:color w:val="000000"/>
        </w:rPr>
        <w:t xml:space="preserve"> agreed</w:t>
      </w:r>
      <w:r w:rsidR="007810B4" w:rsidRPr="000C081F">
        <w:rPr>
          <w:rFonts w:asciiTheme="minorHAnsi" w:eastAsia="Calibri" w:hAnsiTheme="minorHAnsi" w:cs="Calibri"/>
          <w:color w:val="000000"/>
        </w:rPr>
        <w:t xml:space="preserve"> international </w:t>
      </w:r>
      <w:r w:rsidR="00E14DEE" w:rsidRPr="000C081F">
        <w:rPr>
          <w:rFonts w:asciiTheme="minorHAnsi" w:eastAsia="Calibri" w:hAnsiTheme="minorHAnsi" w:cs="Calibri"/>
          <w:color w:val="000000"/>
        </w:rPr>
        <w:t xml:space="preserve">legal and political </w:t>
      </w:r>
      <w:r w:rsidR="007810B4" w:rsidRPr="000C081F">
        <w:rPr>
          <w:rFonts w:asciiTheme="minorHAnsi" w:eastAsia="Calibri" w:hAnsiTheme="minorHAnsi" w:cs="Calibri"/>
          <w:color w:val="000000"/>
        </w:rPr>
        <w:t>standards</w:t>
      </w:r>
      <w:r w:rsidR="00E14DEE" w:rsidRPr="000C081F">
        <w:rPr>
          <w:rFonts w:asciiTheme="minorHAnsi" w:eastAsia="Calibri" w:hAnsiTheme="minorHAnsi" w:cs="Calibri"/>
          <w:color w:val="000000"/>
        </w:rPr>
        <w:t xml:space="preserve"> for self-determination, </w:t>
      </w:r>
      <w:r w:rsidR="007810B4" w:rsidRPr="000C081F">
        <w:rPr>
          <w:rFonts w:asciiTheme="minorHAnsi" w:eastAsia="Calibri" w:hAnsiTheme="minorHAnsi" w:cs="Calibri"/>
          <w:color w:val="000000"/>
        </w:rPr>
        <w:t>especially</w:t>
      </w:r>
      <w:r w:rsidR="00E14DEE" w:rsidRPr="000C081F">
        <w:rPr>
          <w:rFonts w:asciiTheme="minorHAnsi" w:eastAsia="Calibri" w:hAnsiTheme="minorHAnsi" w:cs="Calibri"/>
          <w:color w:val="000000"/>
        </w:rPr>
        <w:t xml:space="preserve"> as set out in</w:t>
      </w:r>
      <w:r w:rsidR="007810B4" w:rsidRPr="000C081F">
        <w:rPr>
          <w:rFonts w:asciiTheme="minorHAnsi" w:eastAsia="Calibri" w:hAnsiTheme="minorHAnsi" w:cs="Calibri"/>
          <w:color w:val="000000"/>
        </w:rPr>
        <w:t xml:space="preserve"> the U</w:t>
      </w:r>
      <w:r w:rsidR="00044EF3" w:rsidRPr="000C081F">
        <w:rPr>
          <w:rFonts w:asciiTheme="minorHAnsi" w:eastAsia="Calibri" w:hAnsiTheme="minorHAnsi" w:cs="Calibri"/>
          <w:color w:val="000000"/>
        </w:rPr>
        <w:t xml:space="preserve">nited </w:t>
      </w:r>
      <w:r w:rsidR="007810B4" w:rsidRPr="000C081F">
        <w:rPr>
          <w:rFonts w:asciiTheme="minorHAnsi" w:eastAsia="Calibri" w:hAnsiTheme="minorHAnsi" w:cs="Calibri"/>
          <w:color w:val="000000"/>
        </w:rPr>
        <w:t>N</w:t>
      </w:r>
      <w:r w:rsidR="00044EF3" w:rsidRPr="000C081F">
        <w:rPr>
          <w:rFonts w:asciiTheme="minorHAnsi" w:eastAsia="Calibri" w:hAnsiTheme="minorHAnsi" w:cs="Calibri"/>
          <w:color w:val="000000"/>
        </w:rPr>
        <w:t>ations</w:t>
      </w:r>
      <w:r w:rsidR="007810B4" w:rsidRPr="000C081F">
        <w:rPr>
          <w:rFonts w:asciiTheme="minorHAnsi" w:eastAsia="Calibri" w:hAnsiTheme="minorHAnsi" w:cs="Calibri"/>
          <w:color w:val="000000"/>
        </w:rPr>
        <w:t xml:space="preserve"> Declaration on the Rights of Indigenous </w:t>
      </w:r>
      <w:r w:rsidR="007810B4" w:rsidRPr="000C081F">
        <w:rPr>
          <w:rFonts w:asciiTheme="minorHAnsi" w:eastAsia="Calibri" w:hAnsiTheme="minorHAnsi" w:cs="Calibri"/>
        </w:rPr>
        <w:t>peoples</w:t>
      </w:r>
      <w:r w:rsidR="00E14DEE" w:rsidRPr="000C081F">
        <w:rPr>
          <w:rFonts w:asciiTheme="minorHAnsi" w:eastAsia="Calibri" w:hAnsiTheme="minorHAnsi" w:cs="Calibri"/>
        </w:rPr>
        <w:t xml:space="preserve"> and under binding international human rights treaties</w:t>
      </w:r>
      <w:r w:rsidR="007810B4" w:rsidRPr="000C081F">
        <w:rPr>
          <w:rFonts w:asciiTheme="minorHAnsi" w:eastAsia="Calibri" w:hAnsiTheme="minorHAnsi" w:cs="Calibri"/>
        </w:rPr>
        <w:t>?</w:t>
      </w:r>
    </w:p>
    <w:p w14:paraId="7756EB3F" w14:textId="77777777" w:rsidR="007810B4" w:rsidRPr="000C081F" w:rsidRDefault="007810B4" w:rsidP="00663D17">
      <w:pPr>
        <w:spacing w:line="360" w:lineRule="auto"/>
        <w:rPr>
          <w:rFonts w:asciiTheme="minorHAnsi" w:eastAsia="Calibri" w:hAnsiTheme="minorHAnsi" w:cs="Calibri"/>
        </w:rPr>
      </w:pPr>
    </w:p>
    <w:p w14:paraId="5C8BC719" w14:textId="4D68541C" w:rsidR="007810B4" w:rsidRPr="000C081F" w:rsidRDefault="00DF107A" w:rsidP="00120ABA">
      <w:pPr>
        <w:pStyle w:val="Heading1"/>
      </w:pPr>
      <w:r w:rsidRPr="000C081F">
        <w:rPr>
          <w:sz w:val="24"/>
          <w:szCs w:val="24"/>
        </w:rPr>
        <w:t xml:space="preserve">V </w:t>
      </w:r>
      <w:r w:rsidR="007810B4" w:rsidRPr="000C081F">
        <w:rPr>
          <w:sz w:val="24"/>
          <w:szCs w:val="24"/>
        </w:rPr>
        <w:t xml:space="preserve">The Aotearoa New Zealand Context </w:t>
      </w:r>
    </w:p>
    <w:p w14:paraId="305C965D" w14:textId="77777777" w:rsidR="00E91BF6" w:rsidRPr="000C081F" w:rsidRDefault="00E91BF6" w:rsidP="00663D17">
      <w:pPr>
        <w:spacing w:line="360" w:lineRule="auto"/>
        <w:rPr>
          <w:rFonts w:asciiTheme="minorHAnsi" w:eastAsia="Calibri" w:hAnsiTheme="minorHAnsi" w:cs="Calibri"/>
          <w:b/>
        </w:rPr>
      </w:pPr>
    </w:p>
    <w:p w14:paraId="2BE97781" w14:textId="1720AB64" w:rsidR="00E91BF6" w:rsidRPr="000C081F" w:rsidRDefault="006102CF" w:rsidP="00663D17">
      <w:pPr>
        <w:spacing w:before="120" w:after="120" w:line="360" w:lineRule="auto"/>
        <w:jc w:val="both"/>
        <w:rPr>
          <w:rFonts w:asciiTheme="minorHAnsi" w:hAnsiTheme="minorHAnsi" w:cs="Times New Roman"/>
        </w:rPr>
      </w:pPr>
      <w:r w:rsidRPr="000C081F">
        <w:rPr>
          <w:rFonts w:asciiTheme="minorHAnsi" w:hAnsiTheme="minorHAnsi" w:cs="Times New Roman"/>
        </w:rPr>
        <w:lastRenderedPageBreak/>
        <w:t xml:space="preserve">Aotearoa </w:t>
      </w:r>
      <w:r w:rsidR="00E91BF6" w:rsidRPr="000C081F">
        <w:rPr>
          <w:rFonts w:asciiTheme="minorHAnsi" w:hAnsiTheme="minorHAnsi" w:cs="Times New Roman"/>
        </w:rPr>
        <w:t>New Zealand</w:t>
      </w:r>
      <w:r w:rsidR="0024336C" w:rsidRPr="000C081F">
        <w:rPr>
          <w:rFonts w:asciiTheme="minorHAnsi" w:hAnsiTheme="minorHAnsi" w:cs="Times New Roman"/>
        </w:rPr>
        <w:t>’s</w:t>
      </w:r>
      <w:r w:rsidR="00E91BF6" w:rsidRPr="000C081F">
        <w:rPr>
          <w:rFonts w:asciiTheme="minorHAnsi" w:hAnsiTheme="minorHAnsi" w:cs="Times New Roman"/>
        </w:rPr>
        <w:t xml:space="preserve"> Westminster</w:t>
      </w:r>
      <w:r w:rsidR="00B47FB3" w:rsidRPr="000C081F">
        <w:rPr>
          <w:rFonts w:asciiTheme="minorHAnsi" w:hAnsiTheme="minorHAnsi" w:cs="Times New Roman"/>
        </w:rPr>
        <w:t>-derived</w:t>
      </w:r>
      <w:r w:rsidR="00E91BF6" w:rsidRPr="000C081F">
        <w:rPr>
          <w:rFonts w:asciiTheme="minorHAnsi" w:hAnsiTheme="minorHAnsi" w:cs="Times New Roman"/>
        </w:rPr>
        <w:t xml:space="preserve"> constitution </w:t>
      </w:r>
      <w:r w:rsidR="00B47FB3" w:rsidRPr="000C081F">
        <w:rPr>
          <w:rFonts w:asciiTheme="minorHAnsi" w:hAnsiTheme="minorHAnsi" w:cs="Times New Roman"/>
        </w:rPr>
        <w:t>can be described as political rather than legal.</w:t>
      </w:r>
      <w:r w:rsidR="00E14DEE" w:rsidRPr="000C081F">
        <w:rPr>
          <w:rStyle w:val="FootnoteReference"/>
          <w:rFonts w:asciiTheme="minorHAnsi" w:hAnsiTheme="minorHAnsi" w:cs="Times New Roman"/>
        </w:rPr>
        <w:footnoteReference w:id="14"/>
      </w:r>
      <w:r w:rsidR="00B47FB3" w:rsidRPr="000C081F">
        <w:rPr>
          <w:rFonts w:asciiTheme="minorHAnsi" w:hAnsiTheme="minorHAnsi" w:cs="Times New Roman"/>
        </w:rPr>
        <w:t xml:space="preserve"> Parliament is the highest legal authority</w:t>
      </w:r>
      <w:r w:rsidR="0024336C" w:rsidRPr="000C081F">
        <w:rPr>
          <w:rFonts w:asciiTheme="minorHAnsi" w:hAnsiTheme="minorHAnsi" w:cs="Times New Roman"/>
        </w:rPr>
        <w:t>. T</w:t>
      </w:r>
      <w:r w:rsidR="00E91BF6" w:rsidRPr="000C081F">
        <w:rPr>
          <w:rFonts w:asciiTheme="minorHAnsi" w:hAnsiTheme="minorHAnsi" w:cs="Times New Roman"/>
        </w:rPr>
        <w:t>here is no law higher than</w:t>
      </w:r>
      <w:r w:rsidR="0024336C" w:rsidRPr="000C081F">
        <w:rPr>
          <w:rFonts w:asciiTheme="minorHAnsi" w:hAnsiTheme="minorHAnsi" w:cs="Times New Roman"/>
        </w:rPr>
        <w:t xml:space="preserve"> legislation.</w:t>
      </w:r>
      <w:r w:rsidR="00E00581" w:rsidRPr="000C081F">
        <w:rPr>
          <w:rFonts w:asciiTheme="minorHAnsi" w:hAnsiTheme="minorHAnsi" w:cs="Times New Roman"/>
        </w:rPr>
        <w:t xml:space="preserve"> </w:t>
      </w:r>
      <w:r w:rsidR="00E91BF6" w:rsidRPr="000C081F">
        <w:rPr>
          <w:rFonts w:asciiTheme="minorHAnsi" w:hAnsiTheme="minorHAnsi" w:cs="Times New Roman"/>
        </w:rPr>
        <w:t xml:space="preserve">The Executive, usually consisting of </w:t>
      </w:r>
      <w:r w:rsidR="00120ABA" w:rsidRPr="000C081F">
        <w:rPr>
          <w:rFonts w:asciiTheme="minorHAnsi" w:hAnsiTheme="minorHAnsi" w:cs="Times New Roman"/>
        </w:rPr>
        <w:t>ministers</w:t>
      </w:r>
      <w:r w:rsidR="00E91BF6" w:rsidRPr="000C081F">
        <w:rPr>
          <w:rFonts w:asciiTheme="minorHAnsi" w:hAnsiTheme="minorHAnsi" w:cs="Times New Roman"/>
        </w:rPr>
        <w:t xml:space="preserve"> selected from the </w:t>
      </w:r>
      <w:r w:rsidR="00562A32" w:rsidRPr="000C081F">
        <w:rPr>
          <w:rFonts w:asciiTheme="minorHAnsi" w:hAnsiTheme="minorHAnsi" w:cs="Times New Roman"/>
        </w:rPr>
        <w:t xml:space="preserve">political </w:t>
      </w:r>
      <w:r w:rsidR="00E91BF6" w:rsidRPr="000C081F">
        <w:rPr>
          <w:rFonts w:asciiTheme="minorHAnsi" w:hAnsiTheme="minorHAnsi" w:cs="Times New Roman"/>
        </w:rPr>
        <w:t>party or coalition holding the majority or near majority of seats in Parliament, exercises considerable control over Parliament</w:t>
      </w:r>
      <w:r w:rsidR="00B47FB3" w:rsidRPr="000C081F">
        <w:rPr>
          <w:rFonts w:asciiTheme="minorHAnsi" w:hAnsiTheme="minorHAnsi" w:cs="Times New Roman"/>
        </w:rPr>
        <w:t>. This means that the Executive</w:t>
      </w:r>
      <w:r w:rsidR="00E91BF6" w:rsidRPr="000C081F">
        <w:rPr>
          <w:rFonts w:asciiTheme="minorHAnsi" w:hAnsiTheme="minorHAnsi" w:cs="Times New Roman"/>
        </w:rPr>
        <w:t xml:space="preserve"> effectively determin</w:t>
      </w:r>
      <w:r w:rsidR="00B47FB3" w:rsidRPr="000C081F">
        <w:rPr>
          <w:rFonts w:asciiTheme="minorHAnsi" w:hAnsiTheme="minorHAnsi" w:cs="Times New Roman"/>
        </w:rPr>
        <w:t>es</w:t>
      </w:r>
      <w:r w:rsidR="00E91BF6" w:rsidRPr="000C081F">
        <w:rPr>
          <w:rFonts w:asciiTheme="minorHAnsi" w:hAnsiTheme="minorHAnsi" w:cs="Times New Roman"/>
        </w:rPr>
        <w:t xml:space="preserve"> laws adopted by Parliament,</w:t>
      </w:r>
      <w:r w:rsidR="00562A32" w:rsidRPr="000C081F">
        <w:rPr>
          <w:rFonts w:asciiTheme="minorHAnsi" w:hAnsiTheme="minorHAnsi" w:cs="Times New Roman"/>
        </w:rPr>
        <w:t xml:space="preserve"> jeopardising the separation of powers and</w:t>
      </w:r>
      <w:r w:rsidR="00E91BF6" w:rsidRPr="000C081F">
        <w:rPr>
          <w:rFonts w:asciiTheme="minorHAnsi" w:hAnsiTheme="minorHAnsi" w:cs="Times New Roman"/>
        </w:rPr>
        <w:t xml:space="preserve"> raising serious </w:t>
      </w:r>
      <w:r w:rsidR="00B47FB3" w:rsidRPr="000C081F">
        <w:rPr>
          <w:rFonts w:asciiTheme="minorHAnsi" w:hAnsiTheme="minorHAnsi" w:cs="Times New Roman"/>
        </w:rPr>
        <w:t xml:space="preserve">concerns about </w:t>
      </w:r>
      <w:r w:rsidRPr="000C081F">
        <w:rPr>
          <w:rFonts w:asciiTheme="minorHAnsi" w:hAnsiTheme="minorHAnsi" w:cs="Times New Roman"/>
        </w:rPr>
        <w:t xml:space="preserve">Aotearoa </w:t>
      </w:r>
      <w:r w:rsidR="00B47FB3" w:rsidRPr="000C081F">
        <w:rPr>
          <w:rFonts w:asciiTheme="minorHAnsi" w:hAnsiTheme="minorHAnsi" w:cs="Times New Roman"/>
        </w:rPr>
        <w:t xml:space="preserve">New Zealand’s </w:t>
      </w:r>
      <w:r w:rsidR="0024336C" w:rsidRPr="000C081F">
        <w:rPr>
          <w:rFonts w:asciiTheme="minorHAnsi" w:hAnsiTheme="minorHAnsi" w:cs="Times New Roman"/>
        </w:rPr>
        <w:t>perceived attachment to democratic ideals</w:t>
      </w:r>
      <w:r w:rsidR="00E91BF6" w:rsidRPr="000C081F">
        <w:rPr>
          <w:rFonts w:asciiTheme="minorHAnsi" w:hAnsiTheme="minorHAnsi" w:cs="Times New Roman"/>
        </w:rPr>
        <w:t>.</w:t>
      </w:r>
    </w:p>
    <w:p w14:paraId="22A18E27" w14:textId="77777777" w:rsidR="00E14DEE" w:rsidRPr="000C081F" w:rsidRDefault="00E14DEE" w:rsidP="00663D17">
      <w:pPr>
        <w:spacing w:before="120" w:after="120" w:line="360" w:lineRule="auto"/>
        <w:jc w:val="both"/>
        <w:rPr>
          <w:rFonts w:asciiTheme="minorHAnsi" w:hAnsiTheme="minorHAnsi" w:cs="Times New Roman"/>
        </w:rPr>
      </w:pPr>
    </w:p>
    <w:p w14:paraId="3437A283" w14:textId="286590F6" w:rsidR="0024336C" w:rsidRPr="000C081F" w:rsidRDefault="00562A32" w:rsidP="00663D17">
      <w:pPr>
        <w:spacing w:before="120" w:after="120" w:line="360" w:lineRule="auto"/>
        <w:jc w:val="both"/>
        <w:rPr>
          <w:rFonts w:asciiTheme="minorHAnsi" w:hAnsiTheme="minorHAnsi" w:cs="Times New Roman"/>
        </w:rPr>
      </w:pPr>
      <w:r w:rsidRPr="000C081F">
        <w:rPr>
          <w:rFonts w:asciiTheme="minorHAnsi" w:hAnsiTheme="minorHAnsi" w:cs="Times New Roman"/>
        </w:rPr>
        <w:t xml:space="preserve">Under </w:t>
      </w:r>
      <w:proofErr w:type="spellStart"/>
      <w:r w:rsidRPr="000C081F">
        <w:rPr>
          <w:rFonts w:asciiTheme="minorHAnsi" w:hAnsiTheme="minorHAnsi" w:cs="Times New Roman"/>
        </w:rPr>
        <w:t>te</w:t>
      </w:r>
      <w:proofErr w:type="spellEnd"/>
      <w:r w:rsidRPr="000C081F">
        <w:rPr>
          <w:rFonts w:asciiTheme="minorHAnsi" w:hAnsiTheme="minorHAnsi" w:cs="Times New Roman"/>
        </w:rPr>
        <w:t xml:space="preserve"> Tiriti o Waitangi, the Crown and some Māori </w:t>
      </w:r>
      <w:proofErr w:type="spellStart"/>
      <w:r w:rsidRPr="000C081F">
        <w:rPr>
          <w:rFonts w:asciiTheme="minorHAnsi" w:hAnsiTheme="minorHAnsi" w:cs="Times New Roman"/>
        </w:rPr>
        <w:t>rangatira</w:t>
      </w:r>
      <w:proofErr w:type="spellEnd"/>
      <w:r w:rsidRPr="000C081F">
        <w:rPr>
          <w:rFonts w:asciiTheme="minorHAnsi" w:hAnsiTheme="minorHAnsi" w:cs="Times New Roman"/>
        </w:rPr>
        <w:t xml:space="preserve"> agreed that the Crown would share authority, with Māori retaining our inherent sovereignty and basic power to regulate our own. </w:t>
      </w:r>
      <w:r w:rsidR="0024336C" w:rsidRPr="000C081F">
        <w:rPr>
          <w:rFonts w:asciiTheme="minorHAnsi" w:hAnsiTheme="minorHAnsi" w:cs="Times New Roman"/>
        </w:rPr>
        <w:t>Crown sovereignty</w:t>
      </w:r>
      <w:r w:rsidR="00B47FB3" w:rsidRPr="000C081F">
        <w:rPr>
          <w:rFonts w:asciiTheme="minorHAnsi" w:hAnsiTheme="minorHAnsi" w:cs="Times New Roman"/>
        </w:rPr>
        <w:t xml:space="preserve"> was </w:t>
      </w:r>
      <w:r w:rsidRPr="000C081F">
        <w:rPr>
          <w:rFonts w:asciiTheme="minorHAnsi" w:hAnsiTheme="minorHAnsi" w:cs="Times New Roman"/>
        </w:rPr>
        <w:t xml:space="preserve">then </w:t>
      </w:r>
      <w:r w:rsidR="00B47FB3" w:rsidRPr="000C081F">
        <w:rPr>
          <w:rFonts w:asciiTheme="minorHAnsi" w:hAnsiTheme="minorHAnsi" w:cs="Times New Roman"/>
        </w:rPr>
        <w:t>unilaterally imposed without Māori consent</w:t>
      </w:r>
      <w:r w:rsidR="0024336C" w:rsidRPr="000C081F">
        <w:rPr>
          <w:rFonts w:asciiTheme="minorHAnsi" w:hAnsiTheme="minorHAnsi" w:cs="Times New Roman"/>
        </w:rPr>
        <w:t>,</w:t>
      </w:r>
      <w:r w:rsidR="00B47FB3" w:rsidRPr="000C081F">
        <w:rPr>
          <w:rFonts w:asciiTheme="minorHAnsi" w:hAnsiTheme="minorHAnsi" w:cs="Times New Roman"/>
        </w:rPr>
        <w:t xml:space="preserve"> contrary to the rule of law and</w:t>
      </w:r>
      <w:r w:rsidR="0024336C" w:rsidRPr="000C081F">
        <w:rPr>
          <w:rFonts w:asciiTheme="minorHAnsi" w:hAnsiTheme="minorHAnsi" w:cs="Times New Roman"/>
        </w:rPr>
        <w:t xml:space="preserve"> </w:t>
      </w:r>
      <w:proofErr w:type="spellStart"/>
      <w:r w:rsidR="0024336C" w:rsidRPr="000C081F">
        <w:rPr>
          <w:rFonts w:asciiTheme="minorHAnsi" w:hAnsiTheme="minorHAnsi" w:cs="Times New Roman"/>
        </w:rPr>
        <w:t>te</w:t>
      </w:r>
      <w:proofErr w:type="spellEnd"/>
      <w:r w:rsidR="0024336C" w:rsidRPr="000C081F">
        <w:rPr>
          <w:rFonts w:asciiTheme="minorHAnsi" w:hAnsiTheme="minorHAnsi" w:cs="Times New Roman"/>
        </w:rPr>
        <w:t xml:space="preserve"> Tiriti o Waitangi</w:t>
      </w:r>
      <w:r w:rsidR="00B47FB3" w:rsidRPr="000C081F">
        <w:rPr>
          <w:rFonts w:asciiTheme="minorHAnsi" w:hAnsiTheme="minorHAnsi" w:cs="Times New Roman"/>
        </w:rPr>
        <w:t xml:space="preserve">. </w:t>
      </w:r>
      <w:r w:rsidR="0024336C" w:rsidRPr="000C081F">
        <w:rPr>
          <w:rFonts w:asciiTheme="minorHAnsi" w:hAnsiTheme="minorHAnsi" w:cs="Times New Roman"/>
        </w:rPr>
        <w:t>Today, t</w:t>
      </w:r>
      <w:r w:rsidR="00B47FB3" w:rsidRPr="000C081F">
        <w:rPr>
          <w:rFonts w:asciiTheme="minorHAnsi" w:hAnsiTheme="minorHAnsi" w:cs="Times New Roman"/>
        </w:rPr>
        <w:t xml:space="preserve">here is no recognition of </w:t>
      </w:r>
      <w:proofErr w:type="spellStart"/>
      <w:r w:rsidR="00B47FB3" w:rsidRPr="000C081F">
        <w:rPr>
          <w:rFonts w:asciiTheme="minorHAnsi" w:hAnsiTheme="minorHAnsi" w:cs="Times New Roman"/>
        </w:rPr>
        <w:t>tino</w:t>
      </w:r>
      <w:proofErr w:type="spellEnd"/>
      <w:r w:rsidR="00B47FB3" w:rsidRPr="000C081F">
        <w:rPr>
          <w:rFonts w:asciiTheme="minorHAnsi" w:hAnsiTheme="minorHAnsi" w:cs="Times New Roman"/>
        </w:rPr>
        <w:t xml:space="preserve"> rangatiratanga in </w:t>
      </w:r>
      <w:r w:rsidR="006102CF" w:rsidRPr="000C081F">
        <w:rPr>
          <w:rFonts w:asciiTheme="minorHAnsi" w:hAnsiTheme="minorHAnsi" w:cs="Times New Roman"/>
        </w:rPr>
        <w:t xml:space="preserve">Aotearoa </w:t>
      </w:r>
      <w:r w:rsidR="0024336C" w:rsidRPr="000C081F">
        <w:rPr>
          <w:rFonts w:asciiTheme="minorHAnsi" w:hAnsiTheme="minorHAnsi" w:cs="Times New Roman"/>
        </w:rPr>
        <w:t xml:space="preserve">New Zealand law. </w:t>
      </w:r>
    </w:p>
    <w:p w14:paraId="1E76D779" w14:textId="77777777" w:rsidR="00E14DEE" w:rsidRPr="000C081F" w:rsidRDefault="00E14DEE" w:rsidP="00663D17">
      <w:pPr>
        <w:spacing w:before="120" w:after="120" w:line="360" w:lineRule="auto"/>
        <w:jc w:val="both"/>
        <w:rPr>
          <w:rFonts w:asciiTheme="minorHAnsi" w:hAnsiTheme="minorHAnsi" w:cs="Times New Roman"/>
        </w:rPr>
      </w:pPr>
    </w:p>
    <w:p w14:paraId="55624B2A" w14:textId="7EC9E007" w:rsidR="0024336C" w:rsidRPr="000C081F" w:rsidRDefault="006102CF" w:rsidP="00663D17">
      <w:pPr>
        <w:spacing w:before="120" w:after="120" w:line="360" w:lineRule="auto"/>
        <w:jc w:val="both"/>
        <w:rPr>
          <w:rFonts w:asciiTheme="minorHAnsi" w:hAnsiTheme="minorHAnsi" w:cs="Times New Roman"/>
        </w:rPr>
      </w:pPr>
      <w:r w:rsidRPr="000C081F">
        <w:rPr>
          <w:rFonts w:asciiTheme="minorHAnsi" w:hAnsiTheme="minorHAnsi" w:cs="Times New Roman"/>
        </w:rPr>
        <w:t xml:space="preserve">Aotearoa </w:t>
      </w:r>
      <w:r w:rsidR="0024336C" w:rsidRPr="000C081F">
        <w:rPr>
          <w:rFonts w:asciiTheme="minorHAnsi" w:hAnsiTheme="minorHAnsi" w:cs="Times New Roman"/>
        </w:rPr>
        <w:t xml:space="preserve">New Zealand’s legal system has historically been fiercely mono-legal. For the above reasons, the system has traditionally been incapable of tolerating legal pluralism </w:t>
      </w:r>
      <w:r w:rsidR="00151D6E" w:rsidRPr="000C081F">
        <w:rPr>
          <w:rFonts w:asciiTheme="minorHAnsi" w:hAnsiTheme="minorHAnsi" w:cs="Times New Roman"/>
        </w:rPr>
        <w:t>in</w:t>
      </w:r>
      <w:r w:rsidR="0024336C" w:rsidRPr="000C081F">
        <w:rPr>
          <w:rFonts w:asciiTheme="minorHAnsi" w:hAnsiTheme="minorHAnsi" w:cs="Times New Roman"/>
        </w:rPr>
        <w:t xml:space="preserve"> regulating life in </w:t>
      </w:r>
      <w:r w:rsidRPr="000C081F">
        <w:rPr>
          <w:rFonts w:asciiTheme="minorHAnsi" w:hAnsiTheme="minorHAnsi" w:cs="Times New Roman"/>
        </w:rPr>
        <w:t xml:space="preserve">Aotearoa </w:t>
      </w:r>
      <w:r w:rsidR="0024336C" w:rsidRPr="000C081F">
        <w:rPr>
          <w:rFonts w:asciiTheme="minorHAnsi" w:hAnsiTheme="minorHAnsi" w:cs="Times New Roman"/>
        </w:rPr>
        <w:t>New Zealand. It is this aspect of</w:t>
      </w:r>
      <w:r w:rsidRPr="000C081F">
        <w:rPr>
          <w:rFonts w:asciiTheme="minorHAnsi" w:hAnsiTheme="minorHAnsi" w:cs="Times New Roman"/>
        </w:rPr>
        <w:t xml:space="preserve"> Aotearoa</w:t>
      </w:r>
      <w:r w:rsidR="0024336C" w:rsidRPr="000C081F">
        <w:rPr>
          <w:rFonts w:asciiTheme="minorHAnsi" w:hAnsiTheme="minorHAnsi" w:cs="Times New Roman"/>
        </w:rPr>
        <w:t xml:space="preserve"> New Zealand’s constitution, and incremental changes to it to better respect tikanga Māori, that I am focussed on</w:t>
      </w:r>
      <w:r w:rsidR="00E00581" w:rsidRPr="000C081F">
        <w:rPr>
          <w:rFonts w:asciiTheme="minorHAnsi" w:hAnsiTheme="minorHAnsi" w:cs="Times New Roman"/>
        </w:rPr>
        <w:t>.</w:t>
      </w:r>
    </w:p>
    <w:p w14:paraId="234E7B73" w14:textId="522AC4AD" w:rsidR="007810B4" w:rsidRPr="000C081F" w:rsidRDefault="00B47FB3" w:rsidP="00663D17">
      <w:pPr>
        <w:spacing w:before="120" w:after="120" w:line="360" w:lineRule="auto"/>
        <w:jc w:val="both"/>
        <w:rPr>
          <w:rFonts w:asciiTheme="minorHAnsi" w:hAnsiTheme="minorHAnsi" w:cs="Times New Roman"/>
        </w:rPr>
      </w:pPr>
      <w:r w:rsidRPr="000C081F">
        <w:rPr>
          <w:rFonts w:asciiTheme="minorHAnsi" w:hAnsiTheme="minorHAnsi" w:cs="Times New Roman"/>
        </w:rPr>
        <w:t xml:space="preserve"> </w:t>
      </w:r>
    </w:p>
    <w:p w14:paraId="2F14D93A" w14:textId="1AA05FCF" w:rsidR="00B47FB3" w:rsidRPr="000C081F" w:rsidRDefault="00DF107A" w:rsidP="00120ABA">
      <w:pPr>
        <w:pStyle w:val="Heading1"/>
      </w:pPr>
      <w:r w:rsidRPr="000C081F">
        <w:rPr>
          <w:sz w:val="24"/>
          <w:szCs w:val="24"/>
        </w:rPr>
        <w:t xml:space="preserve">VI </w:t>
      </w:r>
      <w:r w:rsidR="00B47FB3" w:rsidRPr="000C081F">
        <w:rPr>
          <w:sz w:val="24"/>
          <w:szCs w:val="24"/>
        </w:rPr>
        <w:t>Tikanga Māori</w:t>
      </w:r>
    </w:p>
    <w:p w14:paraId="69F93D8A" w14:textId="77777777" w:rsidR="00B47FB3" w:rsidRPr="000C081F" w:rsidRDefault="00B47FB3" w:rsidP="00663D17">
      <w:pPr>
        <w:spacing w:line="360" w:lineRule="auto"/>
        <w:rPr>
          <w:rFonts w:asciiTheme="minorHAnsi" w:eastAsia="Calibri" w:hAnsiTheme="minorHAnsi" w:cs="Calibri"/>
        </w:rPr>
      </w:pPr>
    </w:p>
    <w:p w14:paraId="14E2BBED" w14:textId="21A46DCC" w:rsidR="007810B4" w:rsidRPr="000C081F" w:rsidRDefault="007810B4" w:rsidP="00663D17">
      <w:pPr>
        <w:spacing w:line="360" w:lineRule="auto"/>
        <w:jc w:val="both"/>
        <w:rPr>
          <w:rFonts w:asciiTheme="minorHAnsi" w:eastAsia="Calibri" w:hAnsiTheme="minorHAnsi" w:cs="Calibri"/>
          <w:color w:val="000000"/>
        </w:rPr>
      </w:pPr>
      <w:r w:rsidRPr="000C081F">
        <w:rPr>
          <w:rFonts w:asciiTheme="minorHAnsi" w:eastAsia="Calibri" w:hAnsiTheme="minorHAnsi" w:cs="Calibri"/>
        </w:rPr>
        <w:t>Tikanga M</w:t>
      </w:r>
      <w:r w:rsidR="00E00581" w:rsidRPr="000C081F">
        <w:rPr>
          <w:rFonts w:asciiTheme="minorHAnsi" w:eastAsia="Calibri" w:hAnsiTheme="minorHAnsi" w:cs="Calibri"/>
        </w:rPr>
        <w:t>ā</w:t>
      </w:r>
      <w:r w:rsidRPr="000C081F">
        <w:rPr>
          <w:rFonts w:asciiTheme="minorHAnsi" w:eastAsia="Calibri" w:hAnsiTheme="minorHAnsi" w:cs="Calibri"/>
        </w:rPr>
        <w:t xml:space="preserve">ori has </w:t>
      </w:r>
      <w:r w:rsidRPr="000C081F">
        <w:rPr>
          <w:rFonts w:asciiTheme="minorHAnsi" w:eastAsia="Calibri" w:hAnsiTheme="minorHAnsi" w:cs="Calibri"/>
          <w:color w:val="000000"/>
        </w:rPr>
        <w:t>been described as:</w:t>
      </w:r>
      <w:bookmarkStart w:id="1" w:name="_Ref190953002"/>
      <w:r w:rsidRPr="000C081F">
        <w:rPr>
          <w:rFonts w:asciiTheme="minorHAnsi" w:eastAsia="Calibri" w:hAnsiTheme="minorHAnsi" w:cs="Calibri"/>
          <w:color w:val="000000"/>
          <w:vertAlign w:val="superscript"/>
        </w:rPr>
        <w:footnoteReference w:id="15"/>
      </w:r>
      <w:bookmarkEnd w:id="1"/>
    </w:p>
    <w:p w14:paraId="59504212" w14:textId="77777777" w:rsidR="007810B4" w:rsidRPr="000C081F" w:rsidRDefault="007810B4" w:rsidP="00663D17">
      <w:pPr>
        <w:spacing w:line="360" w:lineRule="auto"/>
        <w:jc w:val="both"/>
        <w:rPr>
          <w:rFonts w:asciiTheme="minorHAnsi" w:eastAsia="Calibri" w:hAnsiTheme="minorHAnsi" w:cs="Calibri"/>
          <w:color w:val="000000"/>
        </w:rPr>
      </w:pPr>
    </w:p>
    <w:p w14:paraId="7703979C" w14:textId="0B252FEF" w:rsidR="007810B4" w:rsidRPr="000C081F" w:rsidRDefault="007810B4" w:rsidP="00663D17">
      <w:pPr>
        <w:pBdr>
          <w:top w:val="nil"/>
          <w:left w:val="nil"/>
          <w:bottom w:val="nil"/>
          <w:right w:val="nil"/>
          <w:between w:val="nil"/>
        </w:pBdr>
        <w:spacing w:line="360" w:lineRule="auto"/>
        <w:ind w:left="720"/>
        <w:rPr>
          <w:rFonts w:asciiTheme="minorHAnsi" w:eastAsia="Calibri" w:hAnsiTheme="minorHAnsi" w:cs="Calibri"/>
          <w:color w:val="404040"/>
        </w:rPr>
      </w:pPr>
      <w:r w:rsidRPr="000C081F">
        <w:rPr>
          <w:rFonts w:asciiTheme="minorHAnsi" w:eastAsia="Calibri" w:hAnsiTheme="minorHAnsi" w:cs="Calibri"/>
          <w:color w:val="404040"/>
        </w:rPr>
        <w:t xml:space="preserve">“…the set of beliefs associated with practices and procedures to be followed in conducting the affairs of the group or an individual. These procedures are </w:t>
      </w:r>
      <w:r w:rsidRPr="000C081F">
        <w:rPr>
          <w:rFonts w:asciiTheme="minorHAnsi" w:eastAsia="Calibri" w:hAnsiTheme="minorHAnsi" w:cs="Calibri"/>
          <w:color w:val="404040"/>
        </w:rPr>
        <w:lastRenderedPageBreak/>
        <w:t xml:space="preserve">established by precedents through time, are held to be ritually correct, are validated by usually more than one generation and are always subject to what a group or individual </w:t>
      </w:r>
      <w:proofErr w:type="gramStart"/>
      <w:r w:rsidRPr="000C081F">
        <w:rPr>
          <w:rFonts w:asciiTheme="minorHAnsi" w:eastAsia="Calibri" w:hAnsiTheme="minorHAnsi" w:cs="Calibri"/>
          <w:color w:val="404040"/>
        </w:rPr>
        <w:t>is able to</w:t>
      </w:r>
      <w:proofErr w:type="gramEnd"/>
      <w:r w:rsidRPr="000C081F">
        <w:rPr>
          <w:rFonts w:asciiTheme="minorHAnsi" w:eastAsia="Calibri" w:hAnsiTheme="minorHAnsi" w:cs="Calibri"/>
          <w:color w:val="404040"/>
        </w:rPr>
        <w:t xml:space="preserve"> do.”</w:t>
      </w:r>
    </w:p>
    <w:p w14:paraId="5FDC2B2A" w14:textId="77777777" w:rsidR="007810B4" w:rsidRPr="000C081F" w:rsidRDefault="007810B4" w:rsidP="00663D17">
      <w:pPr>
        <w:spacing w:line="360" w:lineRule="auto"/>
        <w:rPr>
          <w:rFonts w:asciiTheme="minorHAnsi" w:eastAsia="Calibri" w:hAnsiTheme="minorHAnsi" w:cs="Calibri"/>
        </w:rPr>
      </w:pPr>
    </w:p>
    <w:p w14:paraId="42053F62" w14:textId="09949C2F" w:rsidR="007810B4" w:rsidRPr="000C081F" w:rsidRDefault="007810B4" w:rsidP="00663D17">
      <w:pPr>
        <w:spacing w:line="360" w:lineRule="auto"/>
        <w:jc w:val="both"/>
        <w:rPr>
          <w:rFonts w:asciiTheme="minorHAnsi" w:eastAsia="Calibri" w:hAnsiTheme="minorHAnsi" w:cs="Calibri"/>
          <w:color w:val="000000"/>
        </w:rPr>
      </w:pPr>
      <w:r w:rsidRPr="000C081F">
        <w:rPr>
          <w:rFonts w:asciiTheme="minorHAnsi" w:eastAsia="Calibri" w:hAnsiTheme="minorHAnsi" w:cs="Calibri"/>
        </w:rPr>
        <w:t>T</w:t>
      </w:r>
      <w:r w:rsidRPr="000C081F">
        <w:rPr>
          <w:rFonts w:asciiTheme="minorHAnsi" w:eastAsia="Calibri" w:hAnsiTheme="minorHAnsi" w:cs="Calibri"/>
          <w:color w:val="000000"/>
        </w:rPr>
        <w:t>ikanga consists of both fundamental principles and specific rules, with the specific rules required to conform to the fundamental principles.  Fundamental principles of tikanga Māori include:</w:t>
      </w:r>
      <w:r w:rsidRPr="000C081F">
        <w:rPr>
          <w:rFonts w:asciiTheme="minorHAnsi" w:eastAsia="Calibri" w:hAnsiTheme="minorHAnsi" w:cs="Calibri"/>
          <w:color w:val="000000"/>
          <w:vertAlign w:val="superscript"/>
        </w:rPr>
        <w:footnoteReference w:id="16"/>
      </w:r>
      <w:r w:rsidRPr="000C081F">
        <w:rPr>
          <w:rFonts w:asciiTheme="minorHAnsi" w:eastAsia="Calibri" w:hAnsiTheme="minorHAnsi" w:cs="Calibri"/>
          <w:color w:val="000000"/>
        </w:rPr>
        <w:t xml:space="preserve"> mana (prestige, authority, control, power, influence, status), </w:t>
      </w:r>
      <w:proofErr w:type="spellStart"/>
      <w:r w:rsidRPr="000C081F">
        <w:rPr>
          <w:rFonts w:asciiTheme="minorHAnsi" w:eastAsia="Calibri" w:hAnsiTheme="minorHAnsi" w:cs="Calibri"/>
          <w:color w:val="000000"/>
        </w:rPr>
        <w:t>tapu</w:t>
      </w:r>
      <w:proofErr w:type="spellEnd"/>
      <w:r w:rsidRPr="000C081F">
        <w:rPr>
          <w:rFonts w:asciiTheme="minorHAnsi" w:eastAsia="Calibri" w:hAnsiTheme="minorHAnsi" w:cs="Calibri"/>
          <w:color w:val="000000"/>
        </w:rPr>
        <w:t xml:space="preserve"> (sacred, prohibited, restricted, set apart), whanaungatanga (kinship, sense of family connection), utu (balance, revenge, retaliation, reciprocity) and </w:t>
      </w:r>
      <w:proofErr w:type="spellStart"/>
      <w:r w:rsidRPr="000C081F">
        <w:rPr>
          <w:rFonts w:asciiTheme="minorHAnsi" w:eastAsia="Calibri" w:hAnsiTheme="minorHAnsi" w:cs="Calibri"/>
          <w:color w:val="000000"/>
        </w:rPr>
        <w:t>kaitiakitanga</w:t>
      </w:r>
      <w:proofErr w:type="spellEnd"/>
      <w:r w:rsidRPr="000C081F">
        <w:rPr>
          <w:rFonts w:asciiTheme="minorHAnsi" w:eastAsia="Calibri" w:hAnsiTheme="minorHAnsi" w:cs="Calibri"/>
          <w:color w:val="000000"/>
        </w:rPr>
        <w:t xml:space="preserve"> (guardianship, stewardship, trusteeship).</w:t>
      </w:r>
      <w:r w:rsidRPr="000C081F">
        <w:rPr>
          <w:rFonts w:asciiTheme="minorHAnsi" w:eastAsia="Calibri" w:hAnsiTheme="minorHAnsi" w:cs="Calibri"/>
          <w:color w:val="000000"/>
          <w:vertAlign w:val="superscript"/>
        </w:rPr>
        <w:footnoteReference w:id="17"/>
      </w:r>
    </w:p>
    <w:p w14:paraId="4212F158" w14:textId="77777777" w:rsidR="007810B4" w:rsidRPr="000C081F" w:rsidRDefault="007810B4" w:rsidP="00663D17">
      <w:pPr>
        <w:spacing w:line="360" w:lineRule="auto"/>
        <w:rPr>
          <w:rFonts w:asciiTheme="minorHAnsi" w:eastAsia="Calibri" w:hAnsiTheme="minorHAnsi" w:cs="Calibri"/>
        </w:rPr>
      </w:pPr>
    </w:p>
    <w:p w14:paraId="5A7C19FA" w14:textId="0849FF10" w:rsidR="006B0222" w:rsidRPr="000C081F" w:rsidRDefault="00DF107A" w:rsidP="00120ABA">
      <w:pPr>
        <w:pStyle w:val="Heading1"/>
      </w:pPr>
      <w:r w:rsidRPr="000C081F">
        <w:rPr>
          <w:sz w:val="24"/>
          <w:szCs w:val="24"/>
        </w:rPr>
        <w:t xml:space="preserve">VII </w:t>
      </w:r>
      <w:r w:rsidR="006B0222" w:rsidRPr="000C081F">
        <w:rPr>
          <w:sz w:val="24"/>
          <w:szCs w:val="24"/>
        </w:rPr>
        <w:t>The Ways in Which Tikanga Māori is Given Legal Effect in</w:t>
      </w:r>
      <w:r w:rsidR="006102CF" w:rsidRPr="000C081F">
        <w:rPr>
          <w:sz w:val="24"/>
          <w:szCs w:val="24"/>
        </w:rPr>
        <w:t xml:space="preserve"> Aotearoa</w:t>
      </w:r>
      <w:r w:rsidR="006B0222" w:rsidRPr="000C081F">
        <w:rPr>
          <w:sz w:val="24"/>
          <w:szCs w:val="24"/>
        </w:rPr>
        <w:t xml:space="preserve"> New Zealand Law</w:t>
      </w:r>
    </w:p>
    <w:p w14:paraId="4576D2F6" w14:textId="77777777" w:rsidR="006B0222" w:rsidRPr="000C081F" w:rsidRDefault="006B0222" w:rsidP="00663D17">
      <w:pPr>
        <w:spacing w:line="360" w:lineRule="auto"/>
        <w:rPr>
          <w:rFonts w:asciiTheme="minorHAnsi" w:eastAsia="Calibri" w:hAnsiTheme="minorHAnsi" w:cs="Calibri"/>
          <w:b/>
        </w:rPr>
      </w:pPr>
    </w:p>
    <w:p w14:paraId="6BC184F9" w14:textId="25386010" w:rsidR="007810B4" w:rsidRPr="000C081F" w:rsidRDefault="00DF107A" w:rsidP="00120ABA">
      <w:pPr>
        <w:pStyle w:val="Heading2"/>
      </w:pPr>
      <w:r w:rsidRPr="000C081F">
        <w:t xml:space="preserve">A </w:t>
      </w:r>
      <w:r w:rsidR="007810B4" w:rsidRPr="000C081F">
        <w:t>Tikanga in Legislation</w:t>
      </w:r>
    </w:p>
    <w:p w14:paraId="7A1733A6" w14:textId="77777777" w:rsidR="007810B4" w:rsidRPr="000C081F" w:rsidRDefault="007810B4" w:rsidP="00663D17">
      <w:pPr>
        <w:spacing w:line="360" w:lineRule="auto"/>
        <w:rPr>
          <w:rFonts w:asciiTheme="minorHAnsi" w:eastAsia="Calibri" w:hAnsiTheme="minorHAnsi" w:cs="Calibri"/>
        </w:rPr>
      </w:pPr>
    </w:p>
    <w:p w14:paraId="504B0554" w14:textId="2600B41C" w:rsidR="00B33978" w:rsidRPr="000C081F" w:rsidRDefault="007810B4" w:rsidP="00663D17">
      <w:pPr>
        <w:pStyle w:val="text"/>
        <w:shd w:val="clear" w:color="auto" w:fill="FFFFFF"/>
        <w:spacing w:before="83" w:beforeAutospacing="0" w:after="0" w:afterAutospacing="0" w:line="360" w:lineRule="auto"/>
        <w:textAlignment w:val="baseline"/>
        <w:rPr>
          <w:rFonts w:asciiTheme="minorHAnsi" w:hAnsiTheme="minorHAnsi"/>
          <w:color w:val="000000"/>
        </w:rPr>
      </w:pPr>
      <w:r w:rsidRPr="00915B95">
        <w:rPr>
          <w:rFonts w:asciiTheme="minorHAnsi" w:hAnsiTheme="minorHAnsi"/>
          <w:color w:val="000000"/>
        </w:rPr>
        <w:t xml:space="preserve">The Resource Management Act </w:t>
      </w:r>
      <w:r w:rsidR="00B33978" w:rsidRPr="00915B95">
        <w:rPr>
          <w:rFonts w:asciiTheme="minorHAnsi" w:hAnsiTheme="minorHAnsi"/>
          <w:color w:val="000000"/>
        </w:rPr>
        <w:t>includes a Treaty of Waitangi principles clause requiring decision</w:t>
      </w:r>
      <w:r w:rsidR="00931A0D" w:rsidRPr="00915B95">
        <w:rPr>
          <w:rFonts w:asciiTheme="minorHAnsi" w:hAnsiTheme="minorHAnsi"/>
          <w:color w:val="000000"/>
        </w:rPr>
        <w:t>-</w:t>
      </w:r>
      <w:r w:rsidR="00B33978" w:rsidRPr="00915B95">
        <w:rPr>
          <w:rFonts w:asciiTheme="minorHAnsi" w:hAnsiTheme="minorHAnsi"/>
          <w:color w:val="000000"/>
        </w:rPr>
        <w:t xml:space="preserve">makers to take </w:t>
      </w:r>
      <w:r w:rsidR="00E92F93" w:rsidRPr="00915B95">
        <w:rPr>
          <w:rFonts w:asciiTheme="minorHAnsi" w:hAnsiTheme="minorHAnsi"/>
          <w:color w:val="000000"/>
        </w:rPr>
        <w:t xml:space="preserve">the </w:t>
      </w:r>
      <w:r w:rsidR="00CC5B49" w:rsidRPr="00915B95">
        <w:rPr>
          <w:rFonts w:asciiTheme="minorHAnsi" w:hAnsiTheme="minorHAnsi"/>
          <w:color w:val="000000"/>
        </w:rPr>
        <w:t xml:space="preserve">Treaty </w:t>
      </w:r>
      <w:r w:rsidR="00E92F93" w:rsidRPr="00915B95">
        <w:rPr>
          <w:rFonts w:asciiTheme="minorHAnsi" w:hAnsiTheme="minorHAnsi"/>
          <w:color w:val="000000"/>
        </w:rPr>
        <w:t xml:space="preserve">principles </w:t>
      </w:r>
      <w:r w:rsidR="00B33978" w:rsidRPr="00915B95">
        <w:rPr>
          <w:rFonts w:asciiTheme="minorHAnsi" w:hAnsiTheme="minorHAnsi"/>
          <w:color w:val="000000"/>
        </w:rPr>
        <w:t>into account.</w:t>
      </w:r>
      <w:r w:rsidR="00E92F93" w:rsidRPr="00915B95">
        <w:rPr>
          <w:rFonts w:asciiTheme="minorHAnsi" w:hAnsiTheme="minorHAnsi"/>
          <w:vertAlign w:val="superscript"/>
        </w:rPr>
        <w:footnoteReference w:id="18"/>
      </w:r>
      <w:r w:rsidR="00B33978" w:rsidRPr="00915B95">
        <w:rPr>
          <w:rFonts w:asciiTheme="minorHAnsi" w:hAnsiTheme="minorHAnsi"/>
          <w:color w:val="000000"/>
        </w:rPr>
        <w:t xml:space="preserve"> Further, s 7</w:t>
      </w:r>
      <w:r w:rsidRPr="00915B95">
        <w:rPr>
          <w:rFonts w:asciiTheme="minorHAnsi" w:hAnsiTheme="minorHAnsi"/>
          <w:color w:val="000000"/>
        </w:rPr>
        <w:t xml:space="preserve"> </w:t>
      </w:r>
      <w:r w:rsidR="00B33978" w:rsidRPr="00915B95">
        <w:rPr>
          <w:rFonts w:asciiTheme="minorHAnsi" w:hAnsiTheme="minorHAnsi"/>
          <w:color w:val="000000"/>
        </w:rPr>
        <w:t xml:space="preserve">requires that </w:t>
      </w:r>
      <w:r w:rsidR="00B33978" w:rsidRPr="000C081F">
        <w:rPr>
          <w:rFonts w:asciiTheme="minorHAnsi" w:hAnsiTheme="minorHAnsi"/>
          <w:color w:val="000000"/>
        </w:rPr>
        <w:t xml:space="preserve">all persons exercising functions and powers under </w:t>
      </w:r>
      <w:r w:rsidR="00931A0D" w:rsidRPr="000C081F">
        <w:rPr>
          <w:rFonts w:asciiTheme="minorHAnsi" w:hAnsiTheme="minorHAnsi"/>
          <w:color w:val="000000"/>
        </w:rPr>
        <w:t>the Act</w:t>
      </w:r>
      <w:r w:rsidR="00B33978" w:rsidRPr="000C081F">
        <w:rPr>
          <w:rFonts w:asciiTheme="minorHAnsi" w:hAnsiTheme="minorHAnsi"/>
          <w:color w:val="000000"/>
        </w:rPr>
        <w:t xml:space="preserve">, in relation to managing the use, development, and protection of natural and physical resources, shall have </w:t>
      </w:r>
      <w:proofErr w:type="gramStart"/>
      <w:r w:rsidR="00B33978" w:rsidRPr="000C081F">
        <w:rPr>
          <w:rFonts w:asciiTheme="minorHAnsi" w:hAnsiTheme="minorHAnsi"/>
          <w:color w:val="000000"/>
        </w:rPr>
        <w:t>particular regard</w:t>
      </w:r>
      <w:proofErr w:type="gramEnd"/>
      <w:r w:rsidR="00B33978" w:rsidRPr="000C081F">
        <w:rPr>
          <w:rFonts w:asciiTheme="minorHAnsi" w:hAnsiTheme="minorHAnsi"/>
          <w:color w:val="000000"/>
        </w:rPr>
        <w:t xml:space="preserve"> to </w:t>
      </w:r>
      <w:proofErr w:type="spellStart"/>
      <w:r w:rsidR="00B33978" w:rsidRPr="000C081F">
        <w:rPr>
          <w:rFonts w:asciiTheme="minorHAnsi" w:hAnsiTheme="minorHAnsi"/>
          <w:color w:val="000000"/>
        </w:rPr>
        <w:t>kaitiakitanga</w:t>
      </w:r>
      <w:proofErr w:type="spellEnd"/>
      <w:r w:rsidR="00B33978" w:rsidRPr="000C081F">
        <w:rPr>
          <w:rFonts w:asciiTheme="minorHAnsi" w:hAnsiTheme="minorHAnsi"/>
          <w:color w:val="000000"/>
        </w:rPr>
        <w:t xml:space="preserve">. These provisions have been relevant in </w:t>
      </w:r>
      <w:r w:rsidR="00931A0D" w:rsidRPr="000C081F">
        <w:rPr>
          <w:rFonts w:asciiTheme="minorHAnsi" w:hAnsiTheme="minorHAnsi"/>
          <w:color w:val="000000"/>
        </w:rPr>
        <w:t>several</w:t>
      </w:r>
      <w:r w:rsidR="00B33978" w:rsidRPr="000C081F">
        <w:rPr>
          <w:rFonts w:asciiTheme="minorHAnsi" w:hAnsiTheme="minorHAnsi"/>
          <w:color w:val="000000"/>
        </w:rPr>
        <w:t xml:space="preserve"> cases involving:</w:t>
      </w:r>
    </w:p>
    <w:p w14:paraId="38239A95" w14:textId="77777777" w:rsidR="00B33978" w:rsidRPr="000C081F" w:rsidRDefault="00B33978" w:rsidP="00663D17">
      <w:pPr>
        <w:pStyle w:val="text"/>
        <w:shd w:val="clear" w:color="auto" w:fill="FFFFFF"/>
        <w:spacing w:before="83" w:beforeAutospacing="0" w:after="0" w:afterAutospacing="0" w:line="360" w:lineRule="auto"/>
        <w:textAlignment w:val="baseline"/>
        <w:rPr>
          <w:rFonts w:asciiTheme="minorHAnsi" w:hAnsiTheme="minorHAnsi"/>
          <w:color w:val="000000"/>
        </w:rPr>
      </w:pPr>
    </w:p>
    <w:p w14:paraId="1E715576" w14:textId="294E36E0" w:rsidR="007810B4" w:rsidRPr="000C081F" w:rsidRDefault="007810B4" w:rsidP="00663D17">
      <w:pPr>
        <w:numPr>
          <w:ilvl w:val="0"/>
          <w:numId w:val="25"/>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Recognition of Māori relationships with the environment and </w:t>
      </w:r>
      <w:r w:rsidR="00965749" w:rsidRPr="000C081F">
        <w:rPr>
          <w:rFonts w:asciiTheme="minorHAnsi" w:eastAsia="Calibri" w:hAnsiTheme="minorHAnsi" w:cs="Calibri"/>
          <w:color w:val="000000"/>
        </w:rPr>
        <w:t xml:space="preserve">an </w:t>
      </w:r>
      <w:r w:rsidRPr="000C081F">
        <w:rPr>
          <w:rFonts w:asciiTheme="minorHAnsi" w:eastAsia="Calibri" w:hAnsiTheme="minorHAnsi" w:cs="Calibri"/>
          <w:color w:val="000000"/>
        </w:rPr>
        <w:t xml:space="preserve">obligation of care in environmental decisions </w:t>
      </w:r>
      <w:r w:rsidR="00965749" w:rsidRPr="000C081F">
        <w:rPr>
          <w:rFonts w:asciiTheme="minorHAnsi" w:eastAsia="Calibri" w:hAnsiTheme="minorHAnsi" w:cs="Calibri"/>
          <w:color w:val="000000"/>
        </w:rPr>
        <w:t xml:space="preserve">(such as </w:t>
      </w:r>
      <w:r w:rsidR="00B33978" w:rsidRPr="000C081F">
        <w:rPr>
          <w:rFonts w:asciiTheme="minorHAnsi" w:eastAsia="Calibri" w:hAnsiTheme="minorHAnsi" w:cs="Calibri"/>
          <w:color w:val="000000"/>
        </w:rPr>
        <w:t xml:space="preserve">in the </w:t>
      </w:r>
      <w:r w:rsidRPr="000C081F">
        <w:rPr>
          <w:rFonts w:asciiTheme="minorHAnsi" w:eastAsia="Calibri" w:hAnsiTheme="minorHAnsi" w:cs="Calibri"/>
          <w:color w:val="000000"/>
        </w:rPr>
        <w:t>construction of a sewer pipe in an area of cultural significance</w:t>
      </w:r>
      <w:r w:rsidR="00965749" w:rsidRPr="000C081F">
        <w:rPr>
          <w:rFonts w:asciiTheme="minorHAnsi" w:eastAsia="Calibri" w:hAnsiTheme="minorHAnsi" w:cs="Calibri"/>
          <w:color w:val="000000"/>
        </w:rPr>
        <w:t>);</w:t>
      </w:r>
      <w:r w:rsidR="00965749" w:rsidRPr="000C081F">
        <w:rPr>
          <w:rStyle w:val="FootnoteReference"/>
          <w:rFonts w:asciiTheme="minorHAnsi" w:eastAsia="Calibri" w:hAnsiTheme="minorHAnsi" w:cs="Calibri"/>
          <w:color w:val="000000"/>
        </w:rPr>
        <w:footnoteReference w:id="19"/>
      </w:r>
    </w:p>
    <w:p w14:paraId="1501B57D" w14:textId="77777777" w:rsidR="00B33978" w:rsidRPr="000C081F" w:rsidRDefault="00B33978" w:rsidP="00663D17">
      <w:pPr>
        <w:pBdr>
          <w:top w:val="nil"/>
          <w:left w:val="nil"/>
          <w:bottom w:val="nil"/>
          <w:right w:val="nil"/>
          <w:between w:val="nil"/>
        </w:pBdr>
        <w:spacing w:line="360" w:lineRule="auto"/>
        <w:ind w:left="720"/>
        <w:rPr>
          <w:rFonts w:asciiTheme="minorHAnsi" w:eastAsia="Calibri" w:hAnsiTheme="minorHAnsi" w:cs="Calibri"/>
          <w:color w:val="000000"/>
        </w:rPr>
      </w:pPr>
    </w:p>
    <w:p w14:paraId="7CE85CBD" w14:textId="5B8838D5" w:rsidR="007810B4" w:rsidRPr="000C081F" w:rsidRDefault="007810B4" w:rsidP="00663D17">
      <w:pPr>
        <w:numPr>
          <w:ilvl w:val="0"/>
          <w:numId w:val="25"/>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lastRenderedPageBreak/>
        <w:t>Māori spiritual relationship</w:t>
      </w:r>
      <w:r w:rsidR="00B33978" w:rsidRPr="000C081F">
        <w:rPr>
          <w:rFonts w:asciiTheme="minorHAnsi" w:eastAsia="Calibri" w:hAnsiTheme="minorHAnsi" w:cs="Calibri"/>
          <w:color w:val="000000"/>
        </w:rPr>
        <w:t>s</w:t>
      </w:r>
      <w:r w:rsidRPr="000C081F">
        <w:rPr>
          <w:rFonts w:asciiTheme="minorHAnsi" w:eastAsia="Calibri" w:hAnsiTheme="minorHAnsi" w:cs="Calibri"/>
          <w:color w:val="000000"/>
        </w:rPr>
        <w:t xml:space="preserve"> with water </w:t>
      </w:r>
      <w:r w:rsidR="00FB183C" w:rsidRPr="000C081F">
        <w:rPr>
          <w:rFonts w:asciiTheme="minorHAnsi" w:eastAsia="Calibri" w:hAnsiTheme="minorHAnsi" w:cs="Calibri"/>
          <w:color w:val="000000"/>
        </w:rPr>
        <w:t xml:space="preserve">(concerning </w:t>
      </w:r>
      <w:r w:rsidRPr="000C081F">
        <w:rPr>
          <w:rFonts w:asciiTheme="minorHAnsi" w:eastAsia="Calibri" w:hAnsiTheme="minorHAnsi" w:cs="Calibri"/>
          <w:color w:val="000000"/>
        </w:rPr>
        <w:t xml:space="preserve">diversion of water from the </w:t>
      </w:r>
      <w:r w:rsidRPr="000C081F">
        <w:rPr>
          <w:rFonts w:asciiTheme="minorHAnsi" w:eastAsia="Calibri" w:hAnsiTheme="minorHAnsi" w:cs="Calibri"/>
        </w:rPr>
        <w:t>Whanganui</w:t>
      </w:r>
      <w:r w:rsidRPr="000C081F">
        <w:rPr>
          <w:rFonts w:asciiTheme="minorHAnsi" w:eastAsia="Calibri" w:hAnsiTheme="minorHAnsi" w:cs="Calibri"/>
          <w:color w:val="000000"/>
        </w:rPr>
        <w:t xml:space="preserve"> </w:t>
      </w:r>
      <w:r w:rsidR="00931A0D" w:rsidRPr="000C081F">
        <w:rPr>
          <w:rFonts w:asciiTheme="minorHAnsi" w:eastAsia="Calibri" w:hAnsiTheme="minorHAnsi" w:cs="Calibri"/>
          <w:color w:val="000000"/>
        </w:rPr>
        <w:t>R</w:t>
      </w:r>
      <w:r w:rsidRPr="000C081F">
        <w:rPr>
          <w:rFonts w:asciiTheme="minorHAnsi" w:eastAsia="Calibri" w:hAnsiTheme="minorHAnsi" w:cs="Calibri"/>
          <w:color w:val="000000"/>
        </w:rPr>
        <w:t>iver to the Taup</w:t>
      </w:r>
      <w:r w:rsidR="00931A0D" w:rsidRPr="000C081F">
        <w:rPr>
          <w:rFonts w:asciiTheme="minorHAnsi" w:eastAsia="Calibri" w:hAnsiTheme="minorHAnsi" w:cs="Calibri"/>
          <w:color w:val="000000"/>
        </w:rPr>
        <w:t>ō</w:t>
      </w:r>
      <w:r w:rsidRPr="000C081F">
        <w:rPr>
          <w:rFonts w:asciiTheme="minorHAnsi" w:eastAsia="Calibri" w:hAnsiTheme="minorHAnsi" w:cs="Calibri"/>
          <w:color w:val="000000"/>
        </w:rPr>
        <w:t xml:space="preserve"> catchment</w:t>
      </w:r>
      <w:r w:rsidR="00FB183C" w:rsidRPr="000C081F">
        <w:rPr>
          <w:rFonts w:asciiTheme="minorHAnsi" w:eastAsia="Calibri" w:hAnsiTheme="minorHAnsi" w:cs="Calibri"/>
          <w:color w:val="000000"/>
        </w:rPr>
        <w:t>);</w:t>
      </w:r>
      <w:r w:rsidR="00FB183C" w:rsidRPr="000C081F">
        <w:rPr>
          <w:rStyle w:val="FootnoteReference"/>
          <w:rFonts w:asciiTheme="minorHAnsi" w:eastAsia="Calibri" w:hAnsiTheme="minorHAnsi" w:cs="Calibri"/>
          <w:color w:val="000000"/>
        </w:rPr>
        <w:footnoteReference w:id="20"/>
      </w:r>
    </w:p>
    <w:p w14:paraId="4BA2D35F" w14:textId="77777777" w:rsidR="00B33978" w:rsidRPr="000C081F" w:rsidRDefault="00B33978" w:rsidP="00663D17">
      <w:pPr>
        <w:pBdr>
          <w:top w:val="nil"/>
          <w:left w:val="nil"/>
          <w:bottom w:val="nil"/>
          <w:right w:val="nil"/>
          <w:between w:val="nil"/>
        </w:pBdr>
        <w:spacing w:line="360" w:lineRule="auto"/>
        <w:rPr>
          <w:rFonts w:asciiTheme="minorHAnsi" w:eastAsia="Calibri" w:hAnsiTheme="minorHAnsi" w:cs="Calibri"/>
          <w:color w:val="000000"/>
        </w:rPr>
      </w:pPr>
    </w:p>
    <w:p w14:paraId="793ACCCC" w14:textId="12D363D0" w:rsidR="007810B4" w:rsidRPr="000C081F" w:rsidRDefault="00446D8E" w:rsidP="00663D17">
      <w:pPr>
        <w:numPr>
          <w:ilvl w:val="0"/>
          <w:numId w:val="25"/>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Whether secular courts can adequately assess interference with spiritual beliefs (concerning t</w:t>
      </w:r>
      <w:r w:rsidR="00B33978" w:rsidRPr="000C081F">
        <w:rPr>
          <w:rFonts w:asciiTheme="minorHAnsi" w:eastAsia="Calibri" w:hAnsiTheme="minorHAnsi" w:cs="Calibri"/>
          <w:color w:val="000000"/>
        </w:rPr>
        <w:t xml:space="preserve">he establishment of a </w:t>
      </w:r>
      <w:r w:rsidR="007810B4" w:rsidRPr="000C081F">
        <w:rPr>
          <w:rFonts w:asciiTheme="minorHAnsi" w:eastAsia="Calibri" w:hAnsiTheme="minorHAnsi" w:cs="Calibri"/>
          <w:color w:val="000000"/>
        </w:rPr>
        <w:t>prison on land where taniwha resided</w:t>
      </w:r>
      <w:r w:rsidRPr="000C081F">
        <w:rPr>
          <w:rFonts w:asciiTheme="minorHAnsi" w:eastAsia="Calibri" w:hAnsiTheme="minorHAnsi" w:cs="Calibri"/>
          <w:color w:val="000000"/>
        </w:rPr>
        <w:t>)</w:t>
      </w:r>
      <w:r w:rsidR="00B33978" w:rsidRPr="000C081F">
        <w:rPr>
          <w:rFonts w:asciiTheme="minorHAnsi" w:eastAsia="Calibri" w:hAnsiTheme="minorHAnsi" w:cs="Calibri"/>
          <w:color w:val="000000"/>
        </w:rPr>
        <w:t>.</w:t>
      </w:r>
      <w:r w:rsidR="00EC2B5E" w:rsidRPr="000C081F">
        <w:rPr>
          <w:rStyle w:val="FootnoteReference"/>
          <w:rFonts w:asciiTheme="minorHAnsi" w:eastAsia="Calibri" w:hAnsiTheme="minorHAnsi" w:cs="Calibri"/>
          <w:color w:val="000000"/>
        </w:rPr>
        <w:footnoteReference w:id="21"/>
      </w:r>
      <w:r w:rsidR="00B33978" w:rsidRPr="000C081F">
        <w:rPr>
          <w:rFonts w:asciiTheme="minorHAnsi" w:eastAsia="Calibri" w:hAnsiTheme="minorHAnsi" w:cs="Calibri"/>
          <w:color w:val="000000"/>
        </w:rPr>
        <w:t xml:space="preserve"> </w:t>
      </w:r>
    </w:p>
    <w:p w14:paraId="19522D65" w14:textId="77777777" w:rsidR="007810B4" w:rsidRPr="000C081F" w:rsidRDefault="007810B4" w:rsidP="00663D17">
      <w:pPr>
        <w:spacing w:line="360" w:lineRule="auto"/>
        <w:rPr>
          <w:rFonts w:asciiTheme="minorHAnsi" w:eastAsia="Calibri" w:hAnsiTheme="minorHAnsi" w:cs="Calibri"/>
        </w:rPr>
      </w:pPr>
    </w:p>
    <w:p w14:paraId="5742A6EB" w14:textId="2E682BA7" w:rsidR="007810B4" w:rsidRPr="000C081F" w:rsidRDefault="00500C6E"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On the other hand, </w:t>
      </w:r>
      <w:r w:rsidR="006B34FB" w:rsidRPr="000C081F">
        <w:rPr>
          <w:rFonts w:asciiTheme="minorHAnsi" w:eastAsia="Calibri" w:hAnsiTheme="minorHAnsi" w:cs="Calibri"/>
          <w:color w:val="000000"/>
        </w:rPr>
        <w:t xml:space="preserve">the High Court found </w:t>
      </w:r>
      <w:r w:rsidR="007810B4" w:rsidRPr="000C081F">
        <w:rPr>
          <w:rFonts w:asciiTheme="minorHAnsi" w:eastAsia="Calibri" w:hAnsiTheme="minorHAnsi" w:cs="Calibri"/>
        </w:rPr>
        <w:t>t</w:t>
      </w:r>
      <w:r w:rsidR="007810B4" w:rsidRPr="000C081F">
        <w:rPr>
          <w:rFonts w:asciiTheme="minorHAnsi" w:eastAsia="Calibri" w:hAnsiTheme="minorHAnsi" w:cs="Calibri"/>
          <w:color w:val="000000"/>
        </w:rPr>
        <w:t>h</w:t>
      </w:r>
      <w:r w:rsidR="007810B4" w:rsidRPr="000C081F">
        <w:rPr>
          <w:rFonts w:asciiTheme="minorHAnsi" w:eastAsia="Calibri" w:hAnsiTheme="minorHAnsi" w:cs="Calibri"/>
        </w:rPr>
        <w:t>ere was no room</w:t>
      </w:r>
      <w:r w:rsidR="007810B4" w:rsidRPr="000C081F">
        <w:rPr>
          <w:rFonts w:asciiTheme="minorHAnsi" w:eastAsia="Calibri" w:hAnsiTheme="minorHAnsi" w:cs="Calibri"/>
          <w:color w:val="000000"/>
        </w:rPr>
        <w:t xml:space="preserve"> for tikanga </w:t>
      </w:r>
      <w:r w:rsidR="006B34FB" w:rsidRPr="000C081F">
        <w:rPr>
          <w:rFonts w:asciiTheme="minorHAnsi" w:eastAsia="Calibri" w:hAnsiTheme="minorHAnsi" w:cs="Calibri"/>
          <w:color w:val="000000"/>
        </w:rPr>
        <w:t xml:space="preserve">Māori to operate </w:t>
      </w:r>
      <w:r w:rsidR="007810B4" w:rsidRPr="000C081F">
        <w:rPr>
          <w:rFonts w:asciiTheme="minorHAnsi" w:eastAsia="Calibri" w:hAnsiTheme="minorHAnsi" w:cs="Calibri"/>
          <w:color w:val="000000"/>
        </w:rPr>
        <w:t>in the Crimes Act 1961, because the legislation was considered too comprehensive.</w:t>
      </w:r>
      <w:r w:rsidRPr="000C081F">
        <w:rPr>
          <w:rStyle w:val="FootnoteReference"/>
          <w:rFonts w:asciiTheme="minorHAnsi" w:eastAsia="Calibri" w:hAnsiTheme="minorHAnsi" w:cs="Calibri"/>
          <w:color w:val="000000"/>
        </w:rPr>
        <w:footnoteReference w:id="22"/>
      </w:r>
      <w:r w:rsidR="00B33978" w:rsidRPr="000C081F">
        <w:rPr>
          <w:rFonts w:asciiTheme="minorHAnsi" w:eastAsia="Calibri" w:hAnsiTheme="minorHAnsi" w:cs="Calibri"/>
          <w:color w:val="000000"/>
        </w:rPr>
        <w:t xml:space="preserve"> </w:t>
      </w:r>
      <w:r w:rsidR="006B34FB" w:rsidRPr="000C081F">
        <w:rPr>
          <w:rFonts w:asciiTheme="minorHAnsi" w:eastAsia="Calibri" w:hAnsiTheme="minorHAnsi" w:cs="Calibri"/>
          <w:color w:val="000000"/>
        </w:rPr>
        <w:t xml:space="preserve">This leaves </w:t>
      </w:r>
      <w:r w:rsidR="00DA1744" w:rsidRPr="000C081F">
        <w:rPr>
          <w:rFonts w:asciiTheme="minorHAnsi" w:eastAsia="Calibri" w:hAnsiTheme="minorHAnsi" w:cs="Calibri"/>
        </w:rPr>
        <w:t xml:space="preserve">minimal opportunity for the courts to </w:t>
      </w:r>
      <w:r w:rsidR="006B34FB" w:rsidRPr="000C081F">
        <w:rPr>
          <w:rFonts w:asciiTheme="minorHAnsi" w:eastAsia="Calibri" w:hAnsiTheme="minorHAnsi" w:cs="Calibri"/>
        </w:rPr>
        <w:t xml:space="preserve">decide </w:t>
      </w:r>
      <w:r w:rsidR="00DA1744" w:rsidRPr="000C081F">
        <w:rPr>
          <w:rFonts w:asciiTheme="minorHAnsi" w:eastAsia="Calibri" w:hAnsiTheme="minorHAnsi" w:cs="Calibri"/>
        </w:rPr>
        <w:t>consistently with tikanga</w:t>
      </w:r>
      <w:r w:rsidR="006B34FB" w:rsidRPr="000C081F">
        <w:rPr>
          <w:rFonts w:asciiTheme="minorHAnsi" w:eastAsia="Calibri" w:hAnsiTheme="minorHAnsi" w:cs="Calibri"/>
        </w:rPr>
        <w:t xml:space="preserve"> when dealing with legislation</w:t>
      </w:r>
      <w:r w:rsidR="00120ABA" w:rsidRPr="000C081F">
        <w:rPr>
          <w:rFonts w:asciiTheme="minorHAnsi" w:eastAsia="Calibri" w:hAnsiTheme="minorHAnsi" w:cs="Calibri"/>
        </w:rPr>
        <w:t xml:space="preserve"> the effectively covers the area of law leaving judges with little room to read in tikanga</w:t>
      </w:r>
      <w:r w:rsidR="007810B4" w:rsidRPr="000C081F">
        <w:rPr>
          <w:rFonts w:asciiTheme="minorHAnsi" w:eastAsia="Calibri" w:hAnsiTheme="minorHAnsi" w:cs="Calibri"/>
        </w:rPr>
        <w:t xml:space="preserve">. </w:t>
      </w:r>
    </w:p>
    <w:p w14:paraId="126B3C81" w14:textId="77777777" w:rsidR="007810B4" w:rsidRPr="000C081F" w:rsidRDefault="007810B4" w:rsidP="00663D17">
      <w:pPr>
        <w:spacing w:line="360" w:lineRule="auto"/>
        <w:rPr>
          <w:rFonts w:asciiTheme="minorHAnsi" w:eastAsia="Calibri" w:hAnsiTheme="minorHAnsi" w:cs="Calibri"/>
          <w:color w:val="000000"/>
        </w:rPr>
      </w:pPr>
    </w:p>
    <w:p w14:paraId="36FCDB29" w14:textId="5F96A788" w:rsidR="007810B4" w:rsidRPr="000C081F" w:rsidRDefault="00DF107A" w:rsidP="00120ABA">
      <w:pPr>
        <w:pStyle w:val="Heading2"/>
        <w:rPr>
          <w:color w:val="000000"/>
        </w:rPr>
      </w:pPr>
      <w:r w:rsidRPr="000C081F">
        <w:t xml:space="preserve">B Tikanga in </w:t>
      </w:r>
      <w:r w:rsidR="007810B4" w:rsidRPr="000C081F">
        <w:t xml:space="preserve">Treaty Settlements </w:t>
      </w:r>
    </w:p>
    <w:p w14:paraId="1D707383" w14:textId="77777777" w:rsidR="007810B4" w:rsidRPr="000C081F" w:rsidRDefault="007810B4" w:rsidP="00663D17">
      <w:pPr>
        <w:spacing w:line="360" w:lineRule="auto"/>
        <w:rPr>
          <w:rFonts w:asciiTheme="minorHAnsi" w:eastAsia="Calibri" w:hAnsiTheme="minorHAnsi" w:cs="Calibri"/>
          <w:color w:val="000000"/>
        </w:rPr>
      </w:pPr>
    </w:p>
    <w:p w14:paraId="4AE42CB0" w14:textId="0631844D" w:rsidR="007810B4" w:rsidRPr="000C081F" w:rsidRDefault="00432234"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Numerous </w:t>
      </w:r>
      <w:r w:rsidR="00DA1744" w:rsidRPr="000C081F">
        <w:rPr>
          <w:rFonts w:asciiTheme="minorHAnsi" w:eastAsia="Calibri" w:hAnsiTheme="minorHAnsi" w:cs="Calibri"/>
          <w:color w:val="000000"/>
        </w:rPr>
        <w:t xml:space="preserve">settlements of historical grievances, colloquially known as Treaty settlements, incorporate tikanga Māori. There are </w:t>
      </w:r>
      <w:r w:rsidRPr="000C081F">
        <w:rPr>
          <w:rFonts w:asciiTheme="minorHAnsi" w:eastAsia="Calibri" w:hAnsiTheme="minorHAnsi" w:cs="Calibri"/>
          <w:color w:val="000000"/>
        </w:rPr>
        <w:t>several</w:t>
      </w:r>
      <w:r w:rsidR="00DA1744" w:rsidRPr="000C081F">
        <w:rPr>
          <w:rFonts w:asciiTheme="minorHAnsi" w:eastAsia="Calibri" w:hAnsiTheme="minorHAnsi" w:cs="Calibri"/>
          <w:color w:val="000000"/>
        </w:rPr>
        <w:t xml:space="preserve"> well-known examples where mountains (Taranaki</w:t>
      </w:r>
      <w:r w:rsidRPr="000C081F">
        <w:rPr>
          <w:rFonts w:asciiTheme="minorHAnsi" w:eastAsia="Calibri" w:hAnsiTheme="minorHAnsi" w:cs="Calibri"/>
          <w:color w:val="000000"/>
        </w:rPr>
        <w:t xml:space="preserve"> </w:t>
      </w:r>
      <w:proofErr w:type="spellStart"/>
      <w:r w:rsidRPr="000C081F">
        <w:rPr>
          <w:rFonts w:asciiTheme="minorHAnsi" w:eastAsia="Calibri" w:hAnsiTheme="minorHAnsi" w:cs="Calibri"/>
          <w:color w:val="000000"/>
        </w:rPr>
        <w:t>Maunga</w:t>
      </w:r>
      <w:proofErr w:type="spellEnd"/>
      <w:r w:rsidR="00DA1744" w:rsidRPr="000C081F">
        <w:rPr>
          <w:rFonts w:asciiTheme="minorHAnsi" w:eastAsia="Calibri" w:hAnsiTheme="minorHAnsi" w:cs="Calibri"/>
          <w:color w:val="000000"/>
        </w:rPr>
        <w:t>), forests (</w:t>
      </w:r>
      <w:proofErr w:type="spellStart"/>
      <w:r w:rsidRPr="000C081F">
        <w:rPr>
          <w:rFonts w:asciiTheme="minorHAnsi" w:eastAsia="Calibri" w:hAnsiTheme="minorHAnsi" w:cs="Calibri"/>
          <w:color w:val="000000"/>
        </w:rPr>
        <w:t>te</w:t>
      </w:r>
      <w:proofErr w:type="spellEnd"/>
      <w:r w:rsidRPr="000C081F">
        <w:rPr>
          <w:rFonts w:asciiTheme="minorHAnsi" w:eastAsia="Calibri" w:hAnsiTheme="minorHAnsi" w:cs="Calibri"/>
          <w:color w:val="000000"/>
        </w:rPr>
        <w:t xml:space="preserve"> </w:t>
      </w:r>
      <w:proofErr w:type="spellStart"/>
      <w:r w:rsidR="00DA1744" w:rsidRPr="000C081F">
        <w:rPr>
          <w:rFonts w:asciiTheme="minorHAnsi" w:eastAsia="Calibri" w:hAnsiTheme="minorHAnsi" w:cs="Calibri"/>
          <w:color w:val="000000"/>
        </w:rPr>
        <w:t>Urewera</w:t>
      </w:r>
      <w:proofErr w:type="spellEnd"/>
      <w:r w:rsidR="00DA1744" w:rsidRPr="000C081F">
        <w:rPr>
          <w:rFonts w:asciiTheme="minorHAnsi" w:eastAsia="Calibri" w:hAnsiTheme="minorHAnsi" w:cs="Calibri"/>
          <w:color w:val="000000"/>
        </w:rPr>
        <w:t>) and rivers (Whanganui</w:t>
      </w:r>
      <w:r w:rsidRPr="000C081F">
        <w:rPr>
          <w:rFonts w:asciiTheme="minorHAnsi" w:eastAsia="Calibri" w:hAnsiTheme="minorHAnsi" w:cs="Calibri"/>
          <w:color w:val="000000"/>
        </w:rPr>
        <w:t xml:space="preserve"> River</w:t>
      </w:r>
      <w:r w:rsidR="00DA1744" w:rsidRPr="000C081F">
        <w:rPr>
          <w:rFonts w:asciiTheme="minorHAnsi" w:eastAsia="Calibri" w:hAnsiTheme="minorHAnsi" w:cs="Calibri"/>
          <w:color w:val="000000"/>
        </w:rPr>
        <w:t xml:space="preserve">) have been recognised as having legal personality in line with tikanga. The respective iwi/tribal nations are included in the management of those persons. In the case of </w:t>
      </w:r>
      <w:r w:rsidRPr="000C081F">
        <w:rPr>
          <w:rFonts w:asciiTheme="minorHAnsi" w:eastAsia="Calibri" w:hAnsiTheme="minorHAnsi" w:cs="Calibri"/>
          <w:color w:val="000000"/>
        </w:rPr>
        <w:t xml:space="preserve">the </w:t>
      </w:r>
      <w:proofErr w:type="spellStart"/>
      <w:r w:rsidR="00DA1744" w:rsidRPr="000C081F">
        <w:rPr>
          <w:rFonts w:asciiTheme="minorHAnsi" w:eastAsia="Calibri" w:hAnsiTheme="minorHAnsi" w:cs="Calibri"/>
          <w:color w:val="000000"/>
        </w:rPr>
        <w:t>T</w:t>
      </w:r>
      <w:r w:rsidRPr="000C081F">
        <w:rPr>
          <w:rFonts w:asciiTheme="minorHAnsi" w:eastAsia="Calibri" w:hAnsiTheme="minorHAnsi" w:cs="Calibri"/>
          <w:color w:val="000000"/>
        </w:rPr>
        <w:t>ū</w:t>
      </w:r>
      <w:r w:rsidR="00DA1744" w:rsidRPr="000C081F">
        <w:rPr>
          <w:rFonts w:asciiTheme="minorHAnsi" w:eastAsia="Calibri" w:hAnsiTheme="minorHAnsi" w:cs="Calibri"/>
          <w:color w:val="000000"/>
        </w:rPr>
        <w:t>hoe</w:t>
      </w:r>
      <w:proofErr w:type="spellEnd"/>
      <w:r w:rsidRPr="000C081F">
        <w:rPr>
          <w:rFonts w:asciiTheme="minorHAnsi" w:eastAsia="Calibri" w:hAnsiTheme="minorHAnsi" w:cs="Calibri"/>
          <w:color w:val="000000"/>
        </w:rPr>
        <w:t xml:space="preserve"> Treaty settlement</w:t>
      </w:r>
      <w:r w:rsidR="00DA1744" w:rsidRPr="000C081F">
        <w:rPr>
          <w:rFonts w:asciiTheme="minorHAnsi" w:eastAsia="Calibri" w:hAnsiTheme="minorHAnsi" w:cs="Calibri"/>
          <w:color w:val="000000"/>
        </w:rPr>
        <w:t xml:space="preserve">, the </w:t>
      </w:r>
      <w:proofErr w:type="spellStart"/>
      <w:r w:rsidR="00FD7386" w:rsidRPr="000C081F">
        <w:rPr>
          <w:rFonts w:asciiTheme="minorHAnsi" w:eastAsia="Calibri" w:hAnsiTheme="minorHAnsi" w:cs="Calibri"/>
          <w:color w:val="000000"/>
        </w:rPr>
        <w:t>Urewera</w:t>
      </w:r>
      <w:proofErr w:type="spellEnd"/>
      <w:r w:rsidR="00DA1744" w:rsidRPr="000C081F">
        <w:rPr>
          <w:rFonts w:asciiTheme="minorHAnsi" w:eastAsia="Calibri" w:hAnsiTheme="minorHAnsi" w:cs="Calibri"/>
          <w:color w:val="000000"/>
        </w:rPr>
        <w:t xml:space="preserve"> Board </w:t>
      </w:r>
      <w:r w:rsidR="007810B4" w:rsidRPr="000C081F">
        <w:rPr>
          <w:rFonts w:asciiTheme="minorHAnsi" w:eastAsia="Calibri" w:hAnsiTheme="minorHAnsi" w:cs="Calibri"/>
          <w:color w:val="000000"/>
        </w:rPr>
        <w:t xml:space="preserve">“must consider and provide appropriately for the relationship of iwi and hapū and their culture and traditions with </w:t>
      </w:r>
      <w:proofErr w:type="spellStart"/>
      <w:r w:rsidR="007810B4" w:rsidRPr="000C081F">
        <w:rPr>
          <w:rFonts w:asciiTheme="minorHAnsi" w:eastAsia="Calibri" w:hAnsiTheme="minorHAnsi" w:cs="Calibri"/>
          <w:color w:val="000000"/>
        </w:rPr>
        <w:t>Te</w:t>
      </w:r>
      <w:proofErr w:type="spellEnd"/>
      <w:r w:rsidR="007810B4" w:rsidRPr="000C081F">
        <w:rPr>
          <w:rFonts w:asciiTheme="minorHAnsi" w:eastAsia="Calibri" w:hAnsiTheme="minorHAnsi" w:cs="Calibri"/>
          <w:color w:val="000000"/>
        </w:rPr>
        <w:t xml:space="preserve"> </w:t>
      </w:r>
      <w:proofErr w:type="spellStart"/>
      <w:r w:rsidR="007810B4" w:rsidRPr="000C081F">
        <w:rPr>
          <w:rFonts w:asciiTheme="minorHAnsi" w:eastAsia="Calibri" w:hAnsiTheme="minorHAnsi" w:cs="Calibri"/>
          <w:color w:val="000000"/>
        </w:rPr>
        <w:t>Urewera</w:t>
      </w:r>
      <w:proofErr w:type="spellEnd"/>
      <w:r w:rsidR="007810B4" w:rsidRPr="000C081F">
        <w:rPr>
          <w:rFonts w:asciiTheme="minorHAnsi" w:eastAsia="Calibri" w:hAnsiTheme="minorHAnsi" w:cs="Calibri"/>
          <w:color w:val="000000"/>
        </w:rPr>
        <w:t xml:space="preserve"> when making decisions”</w:t>
      </w:r>
      <w:r w:rsidR="00DA1744" w:rsidRPr="000C081F">
        <w:rPr>
          <w:rFonts w:asciiTheme="minorHAnsi" w:eastAsia="Calibri" w:hAnsiTheme="minorHAnsi" w:cs="Calibri"/>
          <w:color w:val="000000"/>
        </w:rPr>
        <w:t>.</w:t>
      </w:r>
      <w:r w:rsidR="00F85579" w:rsidRPr="000C081F">
        <w:rPr>
          <w:rStyle w:val="FootnoteReference"/>
          <w:rFonts w:asciiTheme="minorHAnsi" w:eastAsia="Calibri" w:hAnsiTheme="minorHAnsi" w:cs="Calibri"/>
          <w:color w:val="000000"/>
        </w:rPr>
        <w:footnoteReference w:id="23"/>
      </w:r>
    </w:p>
    <w:p w14:paraId="2E9339C0" w14:textId="77777777" w:rsidR="007810B4" w:rsidRPr="000C081F" w:rsidRDefault="007810B4" w:rsidP="00663D17">
      <w:pPr>
        <w:spacing w:line="360" w:lineRule="auto"/>
        <w:rPr>
          <w:rFonts w:asciiTheme="minorHAnsi" w:eastAsia="Calibri" w:hAnsiTheme="minorHAnsi" w:cs="Calibri"/>
          <w:color w:val="000000"/>
        </w:rPr>
      </w:pPr>
    </w:p>
    <w:p w14:paraId="611B3E1C" w14:textId="759E6130" w:rsidR="007810B4" w:rsidRPr="000C081F" w:rsidRDefault="00DF107A" w:rsidP="00120ABA">
      <w:pPr>
        <w:pStyle w:val="Heading2"/>
      </w:pPr>
      <w:r w:rsidRPr="000C081F">
        <w:t>C T</w:t>
      </w:r>
      <w:r w:rsidR="00DA1744" w:rsidRPr="000C081F">
        <w:t>ikanga Māori in</w:t>
      </w:r>
      <w:r w:rsidR="009927CD" w:rsidRPr="000C081F">
        <w:t xml:space="preserve"> </w:t>
      </w:r>
      <w:r w:rsidRPr="000C081F">
        <w:t>C</w:t>
      </w:r>
      <w:r w:rsidR="00DA1744" w:rsidRPr="000C081F">
        <w:t xml:space="preserve">ommon </w:t>
      </w:r>
      <w:r w:rsidRPr="000C081F">
        <w:t>L</w:t>
      </w:r>
      <w:r w:rsidR="00DA1744" w:rsidRPr="000C081F">
        <w:t>aw</w:t>
      </w:r>
    </w:p>
    <w:p w14:paraId="0D114D11" w14:textId="77777777" w:rsidR="00DA1744" w:rsidRPr="000C081F" w:rsidRDefault="00DA1744" w:rsidP="00663D17">
      <w:pPr>
        <w:spacing w:line="360" w:lineRule="auto"/>
        <w:rPr>
          <w:rFonts w:asciiTheme="minorHAnsi" w:eastAsia="Calibri" w:hAnsiTheme="minorHAnsi" w:cs="Calibri"/>
          <w:b/>
          <w:color w:val="000000"/>
        </w:rPr>
      </w:pPr>
    </w:p>
    <w:p w14:paraId="7F4F18B8" w14:textId="77777777" w:rsidR="00120ABA" w:rsidRPr="000C081F" w:rsidRDefault="00DA1744" w:rsidP="00663D17">
      <w:pPr>
        <w:spacing w:line="360" w:lineRule="auto"/>
        <w:rPr>
          <w:rFonts w:asciiTheme="minorHAnsi" w:eastAsia="Calibri" w:hAnsiTheme="minorHAnsi" w:cs="Calibri"/>
          <w:color w:val="000000"/>
        </w:rPr>
      </w:pPr>
      <w:r w:rsidRPr="000C081F">
        <w:rPr>
          <w:rFonts w:asciiTheme="minorHAnsi" w:eastAsia="Calibri" w:hAnsiTheme="minorHAnsi" w:cs="Calibri"/>
        </w:rPr>
        <w:t>T</w:t>
      </w:r>
      <w:r w:rsidR="00EB7F9B" w:rsidRPr="000C081F">
        <w:rPr>
          <w:rFonts w:asciiTheme="minorHAnsi" w:eastAsia="Calibri" w:hAnsiTheme="minorHAnsi" w:cs="Calibri"/>
        </w:rPr>
        <w:t xml:space="preserve">he most significant development in </w:t>
      </w:r>
      <w:r w:rsidR="006102CF" w:rsidRPr="000C081F">
        <w:rPr>
          <w:rFonts w:asciiTheme="minorHAnsi" w:eastAsia="Calibri" w:hAnsiTheme="minorHAnsi" w:cs="Calibri"/>
        </w:rPr>
        <w:t xml:space="preserve">Aotearoa </w:t>
      </w:r>
      <w:r w:rsidR="00EB7F9B" w:rsidRPr="000C081F">
        <w:rPr>
          <w:rFonts w:asciiTheme="minorHAnsi" w:eastAsia="Calibri" w:hAnsiTheme="minorHAnsi" w:cs="Calibri"/>
        </w:rPr>
        <w:t xml:space="preserve">New Zealand law with respect to tikanga has been </w:t>
      </w:r>
      <w:r w:rsidR="00737999" w:rsidRPr="000C081F">
        <w:rPr>
          <w:rFonts w:asciiTheme="minorHAnsi" w:eastAsia="Calibri" w:hAnsiTheme="minorHAnsi" w:cs="Calibri"/>
        </w:rPr>
        <w:t xml:space="preserve">its </w:t>
      </w:r>
      <w:r w:rsidR="00EB7F9B" w:rsidRPr="000C081F">
        <w:rPr>
          <w:rFonts w:asciiTheme="minorHAnsi" w:eastAsia="Calibri" w:hAnsiTheme="minorHAnsi" w:cs="Calibri"/>
        </w:rPr>
        <w:t xml:space="preserve">incorporation into the common law – judge made law. </w:t>
      </w:r>
      <w:r w:rsidR="00860599" w:rsidRPr="000C081F">
        <w:rPr>
          <w:rFonts w:asciiTheme="minorHAnsi" w:eastAsia="Calibri" w:hAnsiTheme="minorHAnsi" w:cs="Calibri"/>
        </w:rPr>
        <w:t xml:space="preserve">From as early as 1987 in its </w:t>
      </w:r>
      <w:proofErr w:type="spellStart"/>
      <w:r w:rsidR="00860599" w:rsidRPr="000C081F">
        <w:rPr>
          <w:rFonts w:asciiTheme="minorHAnsi" w:eastAsia="Calibri" w:hAnsiTheme="minorHAnsi" w:cs="Calibri"/>
          <w:i/>
          <w:iCs/>
        </w:rPr>
        <w:t>Huakina</w:t>
      </w:r>
      <w:proofErr w:type="spellEnd"/>
      <w:r w:rsidR="00860599" w:rsidRPr="000C081F">
        <w:rPr>
          <w:rFonts w:asciiTheme="minorHAnsi" w:eastAsia="Calibri" w:hAnsiTheme="minorHAnsi" w:cs="Calibri"/>
          <w:i/>
          <w:iCs/>
        </w:rPr>
        <w:t xml:space="preserve"> Development </w:t>
      </w:r>
      <w:r w:rsidR="00860599" w:rsidRPr="000C081F">
        <w:rPr>
          <w:rFonts w:asciiTheme="minorHAnsi" w:eastAsia="Calibri" w:hAnsiTheme="minorHAnsi" w:cs="Calibri"/>
        </w:rPr>
        <w:t>decision</w:t>
      </w:r>
      <w:r w:rsidR="00860599" w:rsidRPr="000C081F">
        <w:rPr>
          <w:rFonts w:asciiTheme="minorHAnsi" w:eastAsia="Calibri" w:hAnsiTheme="minorHAnsi" w:cs="Calibri"/>
          <w:i/>
          <w:iCs/>
        </w:rPr>
        <w:t xml:space="preserve">, </w:t>
      </w:r>
      <w:r w:rsidR="00860599" w:rsidRPr="000C081F">
        <w:rPr>
          <w:rFonts w:asciiTheme="minorHAnsi" w:eastAsia="Calibri" w:hAnsiTheme="minorHAnsi" w:cs="Calibri"/>
        </w:rPr>
        <w:t xml:space="preserve">the High Court read in a requirement to </w:t>
      </w:r>
      <w:r w:rsidR="00860599" w:rsidRPr="000C081F">
        <w:rPr>
          <w:rFonts w:asciiTheme="minorHAnsi" w:eastAsia="Calibri" w:hAnsiTheme="minorHAnsi" w:cs="Calibri"/>
        </w:rPr>
        <w:lastRenderedPageBreak/>
        <w:t xml:space="preserve">consider tikanga Māori when determining the change of land use, namely </w:t>
      </w:r>
      <w:r w:rsidR="00860599" w:rsidRPr="000C081F">
        <w:rPr>
          <w:rFonts w:asciiTheme="minorHAnsi" w:eastAsia="Calibri" w:hAnsiTheme="minorHAnsi" w:cs="Calibri"/>
          <w:color w:val="000000"/>
        </w:rPr>
        <w:t>the spiritual significance of water and discharge into a river.</w:t>
      </w:r>
      <w:r w:rsidR="00860599" w:rsidRPr="000C081F">
        <w:rPr>
          <w:rStyle w:val="FootnoteReference"/>
          <w:rFonts w:asciiTheme="minorHAnsi" w:eastAsia="Calibri" w:hAnsiTheme="minorHAnsi" w:cs="Calibri"/>
          <w:color w:val="000000"/>
        </w:rPr>
        <w:footnoteReference w:id="24"/>
      </w:r>
    </w:p>
    <w:p w14:paraId="3D1183E8" w14:textId="77777777" w:rsidR="00120ABA" w:rsidRPr="000C081F" w:rsidRDefault="00120ABA" w:rsidP="00663D17">
      <w:pPr>
        <w:spacing w:line="360" w:lineRule="auto"/>
        <w:rPr>
          <w:rFonts w:asciiTheme="minorHAnsi" w:eastAsia="Calibri" w:hAnsiTheme="minorHAnsi" w:cs="Calibri"/>
          <w:color w:val="000000"/>
        </w:rPr>
      </w:pPr>
    </w:p>
    <w:p w14:paraId="7394EFD1" w14:textId="1223AF60" w:rsidR="00EB7F9B" w:rsidRPr="000C081F" w:rsidRDefault="00EB7F9B" w:rsidP="00663D17">
      <w:pPr>
        <w:spacing w:line="360" w:lineRule="auto"/>
        <w:rPr>
          <w:rFonts w:asciiTheme="minorHAnsi" w:eastAsia="Calibri" w:hAnsiTheme="minorHAnsi" w:cs="Calibri"/>
          <w:color w:val="000000"/>
        </w:rPr>
      </w:pPr>
      <w:r w:rsidRPr="000C081F">
        <w:rPr>
          <w:rFonts w:asciiTheme="minorHAnsi" w:eastAsia="Calibri" w:hAnsiTheme="minorHAnsi" w:cs="Calibri"/>
        </w:rPr>
        <w:t>In the words of</w:t>
      </w:r>
      <w:r w:rsidR="00120ABA" w:rsidRPr="000C081F">
        <w:rPr>
          <w:rFonts w:asciiTheme="minorHAnsi" w:eastAsia="Calibri" w:hAnsiTheme="minorHAnsi" w:cs="Calibri"/>
        </w:rPr>
        <w:t xml:space="preserve"> the Chief Justice</w:t>
      </w:r>
      <w:r w:rsidRPr="000C081F">
        <w:rPr>
          <w:rFonts w:asciiTheme="minorHAnsi" w:eastAsia="Calibri" w:hAnsiTheme="minorHAnsi" w:cs="Calibri"/>
        </w:rPr>
        <w:t xml:space="preserve"> </w:t>
      </w:r>
      <w:r w:rsidRPr="000C081F">
        <w:rPr>
          <w:rFonts w:asciiTheme="minorHAnsi" w:eastAsia="Calibri" w:hAnsiTheme="minorHAnsi" w:cs="Calibri"/>
          <w:color w:val="000000"/>
        </w:rPr>
        <w:t xml:space="preserve">Winkelmann in a speech to </w:t>
      </w:r>
      <w:proofErr w:type="spellStart"/>
      <w:r w:rsidRPr="000C081F">
        <w:rPr>
          <w:rFonts w:asciiTheme="minorHAnsi" w:eastAsia="Calibri" w:hAnsiTheme="minorHAnsi" w:cs="Calibri"/>
          <w:color w:val="000000"/>
        </w:rPr>
        <w:t>te</w:t>
      </w:r>
      <w:proofErr w:type="spellEnd"/>
      <w:r w:rsidRPr="000C081F">
        <w:rPr>
          <w:rFonts w:asciiTheme="minorHAnsi" w:eastAsia="Calibri" w:hAnsiTheme="minorHAnsi" w:cs="Calibri"/>
          <w:color w:val="000000"/>
        </w:rPr>
        <w:t xml:space="preserve"> Hunga </w:t>
      </w:r>
      <w:proofErr w:type="spellStart"/>
      <w:r w:rsidRPr="000C081F">
        <w:rPr>
          <w:rFonts w:asciiTheme="minorHAnsi" w:eastAsia="Calibri" w:hAnsiTheme="minorHAnsi" w:cs="Calibri"/>
          <w:color w:val="000000"/>
        </w:rPr>
        <w:t>Roia</w:t>
      </w:r>
      <w:proofErr w:type="spellEnd"/>
      <w:r w:rsidRPr="000C081F">
        <w:rPr>
          <w:rFonts w:asciiTheme="minorHAnsi" w:eastAsia="Calibri" w:hAnsiTheme="minorHAnsi" w:cs="Calibri"/>
          <w:color w:val="000000"/>
        </w:rPr>
        <w:t xml:space="preserve"> </w:t>
      </w:r>
      <w:proofErr w:type="spellStart"/>
      <w:r w:rsidRPr="000C081F">
        <w:rPr>
          <w:rFonts w:asciiTheme="minorHAnsi" w:eastAsia="Calibri" w:hAnsiTheme="minorHAnsi" w:cs="Calibri"/>
          <w:color w:val="000000"/>
        </w:rPr>
        <w:t>Māori|Māori</w:t>
      </w:r>
      <w:proofErr w:type="spellEnd"/>
      <w:r w:rsidRPr="000C081F">
        <w:rPr>
          <w:rFonts w:asciiTheme="minorHAnsi" w:eastAsia="Calibri" w:hAnsiTheme="minorHAnsi" w:cs="Calibri"/>
          <w:color w:val="000000"/>
        </w:rPr>
        <w:t xml:space="preserve"> Law Society:</w:t>
      </w:r>
      <w:r w:rsidR="00737999" w:rsidRPr="000C081F">
        <w:rPr>
          <w:rStyle w:val="FootnoteReference"/>
          <w:rFonts w:asciiTheme="minorHAnsi" w:eastAsia="Calibri" w:hAnsiTheme="minorHAnsi" w:cs="Calibri"/>
          <w:color w:val="000000"/>
        </w:rPr>
        <w:footnoteReference w:id="25"/>
      </w:r>
    </w:p>
    <w:p w14:paraId="33C11312" w14:textId="77777777" w:rsidR="00EB7F9B" w:rsidRPr="000C081F" w:rsidRDefault="00EB7F9B" w:rsidP="00663D17">
      <w:pPr>
        <w:spacing w:line="360" w:lineRule="auto"/>
        <w:rPr>
          <w:rFonts w:asciiTheme="minorHAnsi" w:eastAsia="Calibri" w:hAnsiTheme="minorHAnsi" w:cs="Calibri"/>
          <w:color w:val="000000"/>
        </w:rPr>
      </w:pPr>
    </w:p>
    <w:p w14:paraId="110573D5" w14:textId="4D057747" w:rsidR="00EB7F9B" w:rsidRPr="000C081F" w:rsidRDefault="00EB7F9B" w:rsidP="00663D17">
      <w:pPr>
        <w:widowControl w:val="0"/>
        <w:spacing w:line="360" w:lineRule="auto"/>
        <w:ind w:left="720"/>
        <w:rPr>
          <w:rFonts w:asciiTheme="minorHAnsi" w:eastAsia="Calibri" w:hAnsiTheme="minorHAnsi" w:cs="Calibri"/>
          <w:color w:val="000000"/>
        </w:rPr>
      </w:pPr>
      <w:r w:rsidRPr="000C081F">
        <w:rPr>
          <w:rFonts w:asciiTheme="minorHAnsi" w:eastAsia="Calibri" w:hAnsiTheme="minorHAnsi" w:cs="Calibri"/>
          <w:color w:val="000000"/>
        </w:rPr>
        <w:t>The common law is sometimes thought of as immutable and never changing. But that is the second misconception I mention. It is true that the common law method requires looking back to precedent in deciding how to move forward. It is a method which enables judges to resist passing storms or fads, and which brings stability. But it does not prevent evolution to meet a change in circumstance or a change in knowledge.</w:t>
      </w:r>
    </w:p>
    <w:p w14:paraId="1C61CE0D" w14:textId="19396123" w:rsidR="00DA1744" w:rsidRPr="000C081F" w:rsidRDefault="00DA1744" w:rsidP="00663D17">
      <w:pPr>
        <w:spacing w:line="360" w:lineRule="auto"/>
        <w:rPr>
          <w:rFonts w:asciiTheme="minorHAnsi" w:eastAsia="Calibri" w:hAnsiTheme="minorHAnsi" w:cs="Calibri"/>
        </w:rPr>
      </w:pPr>
    </w:p>
    <w:p w14:paraId="31017DAB" w14:textId="44AE63DD" w:rsidR="00F563F6" w:rsidRPr="000C081F" w:rsidRDefault="009927CD" w:rsidP="00120ABA">
      <w:pPr>
        <w:pStyle w:val="Heading2"/>
      </w:pPr>
      <w:r w:rsidRPr="000C081F">
        <w:t xml:space="preserve">D Tikanga in </w:t>
      </w:r>
      <w:r w:rsidR="00F563F6" w:rsidRPr="000C081F">
        <w:t>Private law</w:t>
      </w:r>
    </w:p>
    <w:p w14:paraId="41DA2AC2" w14:textId="77777777" w:rsidR="007810B4" w:rsidRPr="000C081F" w:rsidRDefault="007810B4" w:rsidP="00663D17">
      <w:pPr>
        <w:spacing w:line="360" w:lineRule="auto"/>
        <w:rPr>
          <w:rFonts w:asciiTheme="minorHAnsi" w:eastAsia="Calibri" w:hAnsiTheme="minorHAnsi" w:cs="Calibri"/>
          <w:color w:val="000000"/>
        </w:rPr>
      </w:pPr>
    </w:p>
    <w:p w14:paraId="69A71CDB" w14:textId="5411A154" w:rsidR="007810B4" w:rsidRPr="000C081F" w:rsidRDefault="00EB7F9B" w:rsidP="00663D17">
      <w:pPr>
        <w:spacing w:line="360" w:lineRule="auto"/>
        <w:rPr>
          <w:rFonts w:asciiTheme="minorHAnsi" w:eastAsia="Calibri" w:hAnsiTheme="minorHAnsi" w:cs="Calibri"/>
          <w:iCs/>
          <w:color w:val="000000"/>
        </w:rPr>
      </w:pPr>
      <w:r w:rsidRPr="000C081F">
        <w:rPr>
          <w:rFonts w:asciiTheme="minorHAnsi" w:eastAsia="Calibri" w:hAnsiTheme="minorHAnsi" w:cs="Calibri"/>
          <w:color w:val="000000"/>
        </w:rPr>
        <w:t xml:space="preserve">A well-known case is that of </w:t>
      </w:r>
      <w:proofErr w:type="spellStart"/>
      <w:r w:rsidR="007810B4" w:rsidRPr="000C081F">
        <w:rPr>
          <w:rFonts w:asciiTheme="minorHAnsi" w:eastAsia="Calibri" w:hAnsiTheme="minorHAnsi" w:cs="Calibri"/>
          <w:i/>
          <w:color w:val="000000"/>
        </w:rPr>
        <w:t>Takamore</w:t>
      </w:r>
      <w:proofErr w:type="spellEnd"/>
      <w:r w:rsidR="007810B4" w:rsidRPr="000C081F">
        <w:rPr>
          <w:rFonts w:asciiTheme="minorHAnsi" w:eastAsia="Calibri" w:hAnsiTheme="minorHAnsi" w:cs="Calibri"/>
          <w:i/>
          <w:color w:val="000000"/>
        </w:rPr>
        <w:t xml:space="preserve"> v Clarke</w:t>
      </w:r>
      <w:r w:rsidRPr="000C081F">
        <w:rPr>
          <w:rFonts w:asciiTheme="minorHAnsi" w:eastAsia="Calibri" w:hAnsiTheme="minorHAnsi" w:cs="Calibri"/>
          <w:iCs/>
          <w:color w:val="000000"/>
        </w:rPr>
        <w:t>.</w:t>
      </w:r>
      <w:r w:rsidRPr="000C081F">
        <w:rPr>
          <w:rStyle w:val="FootnoteReference"/>
          <w:rFonts w:asciiTheme="minorHAnsi" w:eastAsia="Calibri" w:hAnsiTheme="minorHAnsi" w:cs="Calibri"/>
          <w:iCs/>
          <w:color w:val="000000"/>
        </w:rPr>
        <w:footnoteReference w:id="26"/>
      </w:r>
      <w:r w:rsidRPr="000C081F">
        <w:rPr>
          <w:rFonts w:asciiTheme="minorHAnsi" w:eastAsia="Calibri" w:hAnsiTheme="minorHAnsi" w:cs="Calibri"/>
          <w:iCs/>
          <w:color w:val="000000"/>
        </w:rPr>
        <w:t xml:space="preserve"> The facts were as follows:</w:t>
      </w:r>
    </w:p>
    <w:p w14:paraId="4B0AE93B" w14:textId="77777777" w:rsidR="007810B4" w:rsidRPr="000C081F" w:rsidRDefault="007810B4" w:rsidP="00663D17">
      <w:pPr>
        <w:spacing w:line="360" w:lineRule="auto"/>
        <w:rPr>
          <w:rFonts w:asciiTheme="minorHAnsi" w:eastAsia="Calibri" w:hAnsiTheme="minorHAnsi" w:cs="Calibri"/>
        </w:rPr>
      </w:pPr>
    </w:p>
    <w:p w14:paraId="0D91A139" w14:textId="367654F8" w:rsidR="00105A5E" w:rsidRPr="000C081F" w:rsidRDefault="00EB7F9B" w:rsidP="008A3CB0">
      <w:pPr>
        <w:numPr>
          <w:ilvl w:val="0"/>
          <w:numId w:val="23"/>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Mr </w:t>
      </w:r>
      <w:proofErr w:type="spellStart"/>
      <w:r w:rsidR="007810B4" w:rsidRPr="000C081F">
        <w:rPr>
          <w:rFonts w:asciiTheme="minorHAnsi" w:eastAsia="Calibri" w:hAnsiTheme="minorHAnsi" w:cs="Calibri"/>
          <w:color w:val="000000"/>
        </w:rPr>
        <w:t>Takamore</w:t>
      </w:r>
      <w:proofErr w:type="spellEnd"/>
      <w:r w:rsidR="007810B4" w:rsidRPr="000C081F">
        <w:rPr>
          <w:rFonts w:asciiTheme="minorHAnsi" w:eastAsia="Calibri" w:hAnsiTheme="minorHAnsi" w:cs="Calibri"/>
          <w:color w:val="000000"/>
        </w:rPr>
        <w:t xml:space="preserve">, from </w:t>
      </w:r>
      <w:proofErr w:type="spellStart"/>
      <w:r w:rsidR="007810B4" w:rsidRPr="000C081F">
        <w:rPr>
          <w:rFonts w:asciiTheme="minorHAnsi" w:eastAsia="Calibri" w:hAnsiTheme="minorHAnsi" w:cs="Calibri"/>
          <w:color w:val="000000"/>
        </w:rPr>
        <w:t>T</w:t>
      </w:r>
      <w:r w:rsidR="000F1431" w:rsidRPr="000C081F">
        <w:rPr>
          <w:rFonts w:asciiTheme="minorHAnsi" w:eastAsia="Calibri" w:hAnsiTheme="minorHAnsi" w:cs="Calibri"/>
          <w:color w:val="000000"/>
        </w:rPr>
        <w:t>ū</w:t>
      </w:r>
      <w:r w:rsidR="007810B4" w:rsidRPr="000C081F">
        <w:rPr>
          <w:rFonts w:asciiTheme="minorHAnsi" w:eastAsia="Calibri" w:hAnsiTheme="minorHAnsi" w:cs="Calibri"/>
          <w:color w:val="000000"/>
        </w:rPr>
        <w:t>hoe</w:t>
      </w:r>
      <w:proofErr w:type="spellEnd"/>
      <w:r w:rsidR="007810B4" w:rsidRPr="000C081F">
        <w:rPr>
          <w:rFonts w:asciiTheme="minorHAnsi" w:eastAsia="Calibri" w:hAnsiTheme="minorHAnsi" w:cs="Calibri"/>
          <w:color w:val="000000"/>
        </w:rPr>
        <w:t xml:space="preserve">, died in Christchurch where </w:t>
      </w:r>
      <w:r w:rsidR="007810B4" w:rsidRPr="000C081F">
        <w:rPr>
          <w:rFonts w:asciiTheme="minorHAnsi" w:eastAsia="Calibri" w:hAnsiTheme="minorHAnsi" w:cs="Calibri"/>
        </w:rPr>
        <w:t>he</w:t>
      </w:r>
      <w:r w:rsidR="007810B4" w:rsidRPr="000C081F">
        <w:rPr>
          <w:rFonts w:asciiTheme="minorHAnsi" w:eastAsia="Calibri" w:hAnsiTheme="minorHAnsi" w:cs="Calibri"/>
          <w:color w:val="000000"/>
        </w:rPr>
        <w:t xml:space="preserve"> had lived for 20 years</w:t>
      </w:r>
      <w:r w:rsidRPr="000C081F">
        <w:rPr>
          <w:rFonts w:asciiTheme="minorHAnsi" w:eastAsia="Calibri" w:hAnsiTheme="minorHAnsi" w:cs="Calibri"/>
          <w:color w:val="000000"/>
        </w:rPr>
        <w:t xml:space="preserve"> with his wife and their children.</w:t>
      </w:r>
    </w:p>
    <w:p w14:paraId="681B7511"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7AEE6BEF" w14:textId="74A6792B" w:rsidR="007810B4" w:rsidRPr="000C081F" w:rsidRDefault="007810B4" w:rsidP="008A3CB0">
      <w:pPr>
        <w:numPr>
          <w:ilvl w:val="0"/>
          <w:numId w:val="23"/>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His </w:t>
      </w:r>
      <w:proofErr w:type="spellStart"/>
      <w:r w:rsidRPr="000C081F">
        <w:rPr>
          <w:rFonts w:asciiTheme="minorHAnsi" w:eastAsia="Calibri" w:hAnsiTheme="minorHAnsi" w:cs="Calibri"/>
          <w:color w:val="000000"/>
        </w:rPr>
        <w:t>T</w:t>
      </w:r>
      <w:r w:rsidR="000F1431" w:rsidRPr="000C081F">
        <w:rPr>
          <w:rFonts w:asciiTheme="minorHAnsi" w:eastAsia="Calibri" w:hAnsiTheme="minorHAnsi" w:cs="Calibri"/>
          <w:color w:val="000000"/>
        </w:rPr>
        <w:t>ū</w:t>
      </w:r>
      <w:r w:rsidRPr="000C081F">
        <w:rPr>
          <w:rFonts w:asciiTheme="minorHAnsi" w:eastAsia="Calibri" w:hAnsiTheme="minorHAnsi" w:cs="Calibri"/>
          <w:color w:val="000000"/>
        </w:rPr>
        <w:t>hoe</w:t>
      </w:r>
      <w:proofErr w:type="spellEnd"/>
      <w:r w:rsidRPr="000C081F">
        <w:rPr>
          <w:rFonts w:asciiTheme="minorHAnsi" w:eastAsia="Calibri" w:hAnsiTheme="minorHAnsi" w:cs="Calibri"/>
          <w:color w:val="000000"/>
        </w:rPr>
        <w:t xml:space="preserve"> family wanted him buried in his tribal territories in accordance with </w:t>
      </w:r>
      <w:r w:rsidR="00EB7F9B" w:rsidRPr="000C081F">
        <w:rPr>
          <w:rFonts w:asciiTheme="minorHAnsi" w:eastAsia="Calibri" w:hAnsiTheme="minorHAnsi" w:cs="Calibri"/>
          <w:color w:val="000000"/>
        </w:rPr>
        <w:t>tikanga Māori.</w:t>
      </w:r>
    </w:p>
    <w:p w14:paraId="5CC2BEF7"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27AFB0ED" w14:textId="318366F9" w:rsidR="007810B4" w:rsidRPr="000C081F" w:rsidRDefault="007810B4" w:rsidP="00663D17">
      <w:pPr>
        <w:numPr>
          <w:ilvl w:val="0"/>
          <w:numId w:val="23"/>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His w</w:t>
      </w:r>
      <w:r w:rsidRPr="000C081F">
        <w:rPr>
          <w:rFonts w:asciiTheme="minorHAnsi" w:eastAsia="Calibri" w:hAnsiTheme="minorHAnsi" w:cs="Calibri"/>
          <w:color w:val="000000"/>
        </w:rPr>
        <w:t xml:space="preserve">ife – </w:t>
      </w:r>
      <w:r w:rsidR="008C3C6A" w:rsidRPr="000C081F">
        <w:rPr>
          <w:rFonts w:asciiTheme="minorHAnsi" w:eastAsia="Calibri" w:hAnsiTheme="minorHAnsi" w:cs="Calibri"/>
        </w:rPr>
        <w:t>e</w:t>
      </w:r>
      <w:r w:rsidRPr="000C081F">
        <w:rPr>
          <w:rFonts w:asciiTheme="minorHAnsi" w:eastAsia="Calibri" w:hAnsiTheme="minorHAnsi" w:cs="Calibri"/>
          <w:color w:val="000000"/>
        </w:rPr>
        <w:t>xecutor of his will – and children wanted him buried in Christchurch</w:t>
      </w:r>
      <w:r w:rsidR="000F1431" w:rsidRPr="000C081F">
        <w:rPr>
          <w:rFonts w:asciiTheme="minorHAnsi" w:eastAsia="Calibri" w:hAnsiTheme="minorHAnsi" w:cs="Calibri"/>
          <w:color w:val="000000"/>
        </w:rPr>
        <w:t>.</w:t>
      </w:r>
    </w:p>
    <w:p w14:paraId="1400CD30"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1A234CBE" w14:textId="01A8AFF6" w:rsidR="007810B4" w:rsidRPr="000C081F" w:rsidRDefault="007810B4" w:rsidP="00663D17">
      <w:pPr>
        <w:numPr>
          <w:ilvl w:val="0"/>
          <w:numId w:val="23"/>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His w</w:t>
      </w:r>
      <w:r w:rsidRPr="000C081F">
        <w:rPr>
          <w:rFonts w:asciiTheme="minorHAnsi" w:eastAsia="Calibri" w:hAnsiTheme="minorHAnsi" w:cs="Calibri"/>
          <w:color w:val="000000"/>
        </w:rPr>
        <w:t xml:space="preserve">ife and children left him overnight so the </w:t>
      </w:r>
      <w:proofErr w:type="spellStart"/>
      <w:r w:rsidRPr="000C081F">
        <w:rPr>
          <w:rFonts w:asciiTheme="minorHAnsi" w:eastAsia="Calibri" w:hAnsiTheme="minorHAnsi" w:cs="Calibri"/>
          <w:color w:val="000000"/>
        </w:rPr>
        <w:t>T</w:t>
      </w:r>
      <w:r w:rsidR="000F1431" w:rsidRPr="000C081F">
        <w:rPr>
          <w:rFonts w:asciiTheme="minorHAnsi" w:eastAsia="Calibri" w:hAnsiTheme="minorHAnsi" w:cs="Calibri"/>
          <w:color w:val="000000"/>
        </w:rPr>
        <w:t>ū</w:t>
      </w:r>
      <w:r w:rsidRPr="000C081F">
        <w:rPr>
          <w:rFonts w:asciiTheme="minorHAnsi" w:eastAsia="Calibri" w:hAnsiTheme="minorHAnsi" w:cs="Calibri"/>
          <w:color w:val="000000"/>
        </w:rPr>
        <w:t>hoe</w:t>
      </w:r>
      <w:proofErr w:type="spellEnd"/>
      <w:r w:rsidRPr="000C081F">
        <w:rPr>
          <w:rFonts w:asciiTheme="minorHAnsi" w:eastAsia="Calibri" w:hAnsiTheme="minorHAnsi" w:cs="Calibri"/>
          <w:color w:val="000000"/>
        </w:rPr>
        <w:t xml:space="preserve"> family took his body up to his tribal territories and buried him there.</w:t>
      </w:r>
      <w:r w:rsidR="00EB7F9B" w:rsidRPr="000C081F">
        <w:rPr>
          <w:rFonts w:asciiTheme="minorHAnsi" w:eastAsia="Calibri" w:hAnsiTheme="minorHAnsi" w:cs="Calibri"/>
          <w:color w:val="000000"/>
        </w:rPr>
        <w:t xml:space="preserve"> This practice is also consistent with </w:t>
      </w:r>
      <w:proofErr w:type="spellStart"/>
      <w:r w:rsidR="00EB7F9B" w:rsidRPr="000C081F">
        <w:rPr>
          <w:rFonts w:asciiTheme="minorHAnsi" w:eastAsia="Calibri" w:hAnsiTheme="minorHAnsi" w:cs="Calibri"/>
          <w:color w:val="000000"/>
        </w:rPr>
        <w:t>T</w:t>
      </w:r>
      <w:r w:rsidR="000F1431" w:rsidRPr="000C081F">
        <w:rPr>
          <w:rFonts w:asciiTheme="minorHAnsi" w:eastAsia="Calibri" w:hAnsiTheme="minorHAnsi" w:cs="Calibri"/>
          <w:color w:val="000000"/>
        </w:rPr>
        <w:t>ū</w:t>
      </w:r>
      <w:r w:rsidR="00EB7F9B" w:rsidRPr="000C081F">
        <w:rPr>
          <w:rFonts w:asciiTheme="minorHAnsi" w:eastAsia="Calibri" w:hAnsiTheme="minorHAnsi" w:cs="Calibri"/>
          <w:color w:val="000000"/>
        </w:rPr>
        <w:t>hoe</w:t>
      </w:r>
      <w:proofErr w:type="spellEnd"/>
      <w:r w:rsidR="00EB7F9B" w:rsidRPr="000C081F">
        <w:rPr>
          <w:rFonts w:asciiTheme="minorHAnsi" w:eastAsia="Calibri" w:hAnsiTheme="minorHAnsi" w:cs="Calibri"/>
          <w:color w:val="000000"/>
        </w:rPr>
        <w:t xml:space="preserve"> law</w:t>
      </w:r>
      <w:r w:rsidR="000F1431" w:rsidRPr="000C081F">
        <w:rPr>
          <w:rFonts w:asciiTheme="minorHAnsi" w:eastAsia="Calibri" w:hAnsiTheme="minorHAnsi" w:cs="Calibri"/>
          <w:color w:val="000000"/>
        </w:rPr>
        <w:t>,</w:t>
      </w:r>
      <w:r w:rsidR="00EB7F9B" w:rsidRPr="000C081F">
        <w:rPr>
          <w:rFonts w:asciiTheme="minorHAnsi" w:eastAsia="Calibri" w:hAnsiTheme="minorHAnsi" w:cs="Calibri"/>
          <w:color w:val="000000"/>
        </w:rPr>
        <w:t xml:space="preserve"> in that a deceased person is not to be left alone until such time as they are </w:t>
      </w:r>
      <w:r w:rsidR="00EB7F9B" w:rsidRPr="000C081F">
        <w:rPr>
          <w:rFonts w:asciiTheme="minorHAnsi" w:eastAsia="Calibri" w:hAnsiTheme="minorHAnsi" w:cs="Calibri"/>
          <w:color w:val="000000"/>
        </w:rPr>
        <w:lastRenderedPageBreak/>
        <w:t>buried</w:t>
      </w:r>
      <w:r w:rsidR="000F1431" w:rsidRPr="000C081F">
        <w:rPr>
          <w:rFonts w:asciiTheme="minorHAnsi" w:eastAsia="Calibri" w:hAnsiTheme="minorHAnsi" w:cs="Calibri"/>
          <w:color w:val="000000"/>
        </w:rPr>
        <w:t>,</w:t>
      </w:r>
      <w:r w:rsidR="00EB7F9B" w:rsidRPr="000C081F">
        <w:rPr>
          <w:rFonts w:asciiTheme="minorHAnsi" w:eastAsia="Calibri" w:hAnsiTheme="minorHAnsi" w:cs="Calibri"/>
          <w:color w:val="000000"/>
        </w:rPr>
        <w:t xml:space="preserve"> </w:t>
      </w:r>
      <w:r w:rsidR="00120ABA" w:rsidRPr="000C081F">
        <w:rPr>
          <w:rFonts w:asciiTheme="minorHAnsi" w:eastAsia="Calibri" w:hAnsiTheme="minorHAnsi" w:cs="Calibri"/>
          <w:color w:val="000000"/>
        </w:rPr>
        <w:t>and</w:t>
      </w:r>
      <w:r w:rsidR="00EB7F9B" w:rsidRPr="000C081F">
        <w:rPr>
          <w:rFonts w:asciiTheme="minorHAnsi" w:eastAsia="Calibri" w:hAnsiTheme="minorHAnsi" w:cs="Calibri"/>
          <w:color w:val="000000"/>
        </w:rPr>
        <w:t xml:space="preserve"> that there is honour in being “claimed” by </w:t>
      </w:r>
      <w:r w:rsidR="00836FB7" w:rsidRPr="000C081F">
        <w:rPr>
          <w:rFonts w:asciiTheme="minorHAnsi" w:eastAsia="Calibri" w:hAnsiTheme="minorHAnsi" w:cs="Calibri"/>
          <w:color w:val="000000"/>
        </w:rPr>
        <w:t>multiple</w:t>
      </w:r>
      <w:r w:rsidR="00EB7F9B" w:rsidRPr="000C081F">
        <w:rPr>
          <w:rFonts w:asciiTheme="minorHAnsi" w:eastAsia="Calibri" w:hAnsiTheme="minorHAnsi" w:cs="Calibri"/>
          <w:color w:val="000000"/>
        </w:rPr>
        <w:t xml:space="preserve"> trib</w:t>
      </w:r>
      <w:r w:rsidR="00836FB7" w:rsidRPr="000C081F">
        <w:rPr>
          <w:rFonts w:asciiTheme="minorHAnsi" w:eastAsia="Calibri" w:hAnsiTheme="minorHAnsi" w:cs="Calibri"/>
          <w:color w:val="000000"/>
        </w:rPr>
        <w:t>al nations</w:t>
      </w:r>
      <w:r w:rsidR="00EB7F9B" w:rsidRPr="000C081F">
        <w:rPr>
          <w:rFonts w:asciiTheme="minorHAnsi" w:eastAsia="Calibri" w:hAnsiTheme="minorHAnsi" w:cs="Calibri"/>
          <w:color w:val="000000"/>
        </w:rPr>
        <w:t xml:space="preserve">.  </w:t>
      </w:r>
      <w:r w:rsidR="00836FB7" w:rsidRPr="000C081F">
        <w:rPr>
          <w:rFonts w:asciiTheme="minorHAnsi" w:eastAsia="Calibri" w:hAnsiTheme="minorHAnsi" w:cs="Calibri"/>
          <w:color w:val="000000"/>
        </w:rPr>
        <w:t>The taking of bodies by a tribal nation is a sign of respect.</w:t>
      </w:r>
    </w:p>
    <w:p w14:paraId="5743C3ED" w14:textId="77777777"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p>
    <w:p w14:paraId="5DC0500F" w14:textId="3F35C703"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A l</w:t>
      </w:r>
      <w:r w:rsidRPr="000C081F">
        <w:rPr>
          <w:rFonts w:asciiTheme="minorHAnsi" w:eastAsia="Calibri" w:hAnsiTheme="minorHAnsi" w:cs="Calibri"/>
          <w:color w:val="000000"/>
        </w:rPr>
        <w:t>egal question</w:t>
      </w:r>
      <w:r w:rsidRPr="000C081F">
        <w:rPr>
          <w:rFonts w:asciiTheme="minorHAnsi" w:eastAsia="Calibri" w:hAnsiTheme="minorHAnsi" w:cs="Calibri"/>
        </w:rPr>
        <w:t xml:space="preserve"> arose from the </w:t>
      </w:r>
      <w:r w:rsidRPr="000C081F">
        <w:rPr>
          <w:rFonts w:asciiTheme="minorHAnsi" w:eastAsia="Calibri" w:hAnsiTheme="minorHAnsi" w:cs="Calibri"/>
          <w:color w:val="000000"/>
        </w:rPr>
        <w:t xml:space="preserve">conflict between the assumed common law doctrine that the </w:t>
      </w:r>
      <w:r w:rsidR="008C3C6A" w:rsidRPr="000C081F">
        <w:rPr>
          <w:rFonts w:asciiTheme="minorHAnsi" w:eastAsia="Calibri" w:hAnsiTheme="minorHAnsi" w:cs="Calibri"/>
          <w:color w:val="000000"/>
        </w:rPr>
        <w:t>e</w:t>
      </w:r>
      <w:r w:rsidRPr="000C081F">
        <w:rPr>
          <w:rFonts w:asciiTheme="minorHAnsi" w:eastAsia="Calibri" w:hAnsiTheme="minorHAnsi" w:cs="Calibri"/>
          <w:color w:val="000000"/>
        </w:rPr>
        <w:t xml:space="preserve">xecutor has the authority to decide </w:t>
      </w:r>
      <w:r w:rsidR="000F1431" w:rsidRPr="000C081F">
        <w:rPr>
          <w:rFonts w:asciiTheme="minorHAnsi" w:eastAsia="Calibri" w:hAnsiTheme="minorHAnsi" w:cs="Calibri"/>
          <w:color w:val="000000"/>
        </w:rPr>
        <w:t xml:space="preserve">a deceased’s </w:t>
      </w:r>
      <w:r w:rsidRPr="000C081F">
        <w:rPr>
          <w:rFonts w:asciiTheme="minorHAnsi" w:eastAsia="Calibri" w:hAnsiTheme="minorHAnsi" w:cs="Calibri"/>
          <w:color w:val="000000"/>
        </w:rPr>
        <w:t>burial place</w:t>
      </w:r>
      <w:r w:rsidR="000F1431"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and Māori law.</w:t>
      </w:r>
      <w:r w:rsidR="00836FB7" w:rsidRPr="000C081F">
        <w:rPr>
          <w:rFonts w:asciiTheme="minorHAnsi" w:eastAsia="Calibri" w:hAnsiTheme="minorHAnsi" w:cs="Calibri"/>
          <w:color w:val="000000"/>
        </w:rPr>
        <w:t xml:space="preserve"> A central question was whether tikanga Māori or – at the time unsettled and uncertain – common law favouring the right of the executor.</w:t>
      </w:r>
    </w:p>
    <w:p w14:paraId="35CC3E0B" w14:textId="77777777"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p>
    <w:p w14:paraId="777509BA" w14:textId="1F18F5E8"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w:t>
      </w:r>
      <w:r w:rsidRPr="000C081F">
        <w:rPr>
          <w:rFonts w:asciiTheme="minorHAnsi" w:eastAsia="Calibri" w:hAnsiTheme="minorHAnsi" w:cs="Calibri"/>
          <w:color w:val="000000"/>
        </w:rPr>
        <w:t xml:space="preserve"> Court of Appeal held that Māori law could not prevail because </w:t>
      </w:r>
      <w:r w:rsidR="00836FB7" w:rsidRPr="000C081F">
        <w:rPr>
          <w:rFonts w:asciiTheme="minorHAnsi" w:eastAsia="Calibri" w:hAnsiTheme="minorHAnsi" w:cs="Calibri"/>
          <w:color w:val="000000"/>
        </w:rPr>
        <w:t xml:space="preserve">it is </w:t>
      </w:r>
      <w:r w:rsidRPr="000C081F">
        <w:rPr>
          <w:rFonts w:asciiTheme="minorHAnsi" w:eastAsia="Calibri" w:hAnsiTheme="minorHAnsi" w:cs="Calibri"/>
          <w:color w:val="000000"/>
        </w:rPr>
        <w:t xml:space="preserve">contrary to the common law against </w:t>
      </w:r>
      <w:r w:rsidR="00231968" w:rsidRPr="000C081F">
        <w:rPr>
          <w:rFonts w:asciiTheme="minorHAnsi" w:eastAsia="Calibri" w:hAnsiTheme="minorHAnsi" w:cs="Calibri"/>
          <w:color w:val="000000"/>
        </w:rPr>
        <w:t>‘</w:t>
      </w:r>
      <w:r w:rsidRPr="000C081F">
        <w:rPr>
          <w:rFonts w:asciiTheme="minorHAnsi" w:eastAsia="Calibri" w:hAnsiTheme="minorHAnsi" w:cs="Calibri"/>
          <w:color w:val="000000"/>
        </w:rPr>
        <w:t>might is right</w:t>
      </w:r>
      <w:r w:rsidR="00231968" w:rsidRPr="000C081F">
        <w:rPr>
          <w:rFonts w:asciiTheme="minorHAnsi" w:eastAsia="Calibri" w:hAnsiTheme="minorHAnsi" w:cs="Calibri"/>
          <w:color w:val="000000"/>
        </w:rPr>
        <w:t>’</w:t>
      </w:r>
      <w:r w:rsidRPr="000C081F">
        <w:rPr>
          <w:rFonts w:asciiTheme="minorHAnsi" w:eastAsia="Calibri" w:hAnsiTheme="minorHAnsi" w:cs="Calibri"/>
          <w:color w:val="000000"/>
        </w:rPr>
        <w:t>.</w:t>
      </w:r>
      <w:r w:rsidRPr="000C081F">
        <w:rPr>
          <w:rFonts w:asciiTheme="minorHAnsi" w:eastAsia="Calibri" w:hAnsiTheme="minorHAnsi" w:cs="Calibri"/>
        </w:rPr>
        <w:t xml:space="preserve"> </w:t>
      </w:r>
      <w:r w:rsidR="00836FB7" w:rsidRPr="000C081F">
        <w:rPr>
          <w:rFonts w:asciiTheme="minorHAnsi" w:eastAsia="Calibri" w:hAnsiTheme="minorHAnsi" w:cs="Calibri"/>
        </w:rPr>
        <w:t xml:space="preserve">When the case </w:t>
      </w:r>
      <w:r w:rsidR="00231968" w:rsidRPr="000C081F">
        <w:rPr>
          <w:rFonts w:asciiTheme="minorHAnsi" w:eastAsia="Calibri" w:hAnsiTheme="minorHAnsi" w:cs="Calibri"/>
        </w:rPr>
        <w:t xml:space="preserve">was appealed </w:t>
      </w:r>
      <w:r w:rsidR="00836FB7" w:rsidRPr="000C081F">
        <w:rPr>
          <w:rFonts w:asciiTheme="minorHAnsi" w:eastAsia="Calibri" w:hAnsiTheme="minorHAnsi" w:cs="Calibri"/>
        </w:rPr>
        <w:t xml:space="preserve">to the </w:t>
      </w:r>
      <w:r w:rsidRPr="000C081F">
        <w:rPr>
          <w:rFonts w:asciiTheme="minorHAnsi" w:eastAsia="Calibri" w:hAnsiTheme="minorHAnsi" w:cs="Calibri"/>
          <w:color w:val="000000"/>
        </w:rPr>
        <w:t>Supreme Court</w:t>
      </w:r>
      <w:r w:rsidR="00836FB7" w:rsidRPr="000C081F">
        <w:rPr>
          <w:rFonts w:asciiTheme="minorHAnsi" w:eastAsia="Calibri" w:hAnsiTheme="minorHAnsi" w:cs="Calibri"/>
        </w:rPr>
        <w:t xml:space="preserve">, it </w:t>
      </w:r>
      <w:r w:rsidRPr="000C081F">
        <w:rPr>
          <w:rFonts w:asciiTheme="minorHAnsi" w:eastAsia="Calibri" w:hAnsiTheme="minorHAnsi" w:cs="Calibri"/>
        </w:rPr>
        <w:t>u</w:t>
      </w:r>
      <w:r w:rsidRPr="000C081F">
        <w:rPr>
          <w:rFonts w:asciiTheme="minorHAnsi" w:eastAsia="Calibri" w:hAnsiTheme="minorHAnsi" w:cs="Calibri"/>
          <w:color w:val="000000"/>
        </w:rPr>
        <w:t>nanimous</w:t>
      </w:r>
      <w:r w:rsidR="00231968" w:rsidRPr="000C081F">
        <w:rPr>
          <w:rFonts w:asciiTheme="minorHAnsi" w:eastAsia="Calibri" w:hAnsiTheme="minorHAnsi" w:cs="Calibri"/>
          <w:color w:val="000000"/>
        </w:rPr>
        <w:t>ly decided</w:t>
      </w:r>
      <w:r w:rsidRPr="000C081F">
        <w:rPr>
          <w:rFonts w:asciiTheme="minorHAnsi" w:eastAsia="Calibri" w:hAnsiTheme="minorHAnsi" w:cs="Calibri"/>
          <w:color w:val="000000"/>
        </w:rPr>
        <w:t xml:space="preserve"> that Māori law can be </w:t>
      </w:r>
      <w:r w:rsidR="00836FB7" w:rsidRPr="000C081F">
        <w:rPr>
          <w:rFonts w:asciiTheme="minorHAnsi" w:eastAsia="Calibri" w:hAnsiTheme="minorHAnsi" w:cs="Calibri"/>
          <w:color w:val="000000"/>
        </w:rPr>
        <w:t xml:space="preserve">incorporated into </w:t>
      </w:r>
      <w:r w:rsidRPr="000C081F">
        <w:rPr>
          <w:rFonts w:asciiTheme="minorHAnsi" w:eastAsia="Calibri" w:hAnsiTheme="minorHAnsi" w:cs="Calibri"/>
          <w:color w:val="000000"/>
        </w:rPr>
        <w:t>the common law. The majority stated that:</w:t>
      </w:r>
      <w:r w:rsidRPr="000C081F">
        <w:rPr>
          <w:rFonts w:asciiTheme="minorHAnsi" w:eastAsia="Calibri" w:hAnsiTheme="minorHAnsi" w:cs="Calibri"/>
          <w:color w:val="000000"/>
          <w:vertAlign w:val="superscript"/>
        </w:rPr>
        <w:footnoteReference w:id="27"/>
      </w:r>
      <w:r w:rsidRPr="000C081F">
        <w:rPr>
          <w:rFonts w:asciiTheme="minorHAnsi" w:eastAsia="Calibri" w:hAnsiTheme="minorHAnsi" w:cs="Calibri"/>
          <w:color w:val="000000"/>
        </w:rPr>
        <w:t xml:space="preserve"> </w:t>
      </w:r>
    </w:p>
    <w:p w14:paraId="60032DB0" w14:textId="77777777" w:rsidR="007810B4" w:rsidRPr="000C081F" w:rsidRDefault="007810B4" w:rsidP="00663D17">
      <w:pPr>
        <w:spacing w:line="360" w:lineRule="auto"/>
        <w:jc w:val="both"/>
        <w:rPr>
          <w:rFonts w:asciiTheme="minorHAnsi" w:eastAsia="Calibri" w:hAnsiTheme="minorHAnsi" w:cs="Calibri"/>
          <w:color w:val="000000"/>
        </w:rPr>
      </w:pPr>
    </w:p>
    <w:p w14:paraId="74FCA235" w14:textId="4F167814" w:rsidR="007810B4" w:rsidRPr="000C081F" w:rsidRDefault="007810B4" w:rsidP="00663D17">
      <w:pPr>
        <w:pBdr>
          <w:top w:val="nil"/>
          <w:left w:val="nil"/>
          <w:bottom w:val="nil"/>
          <w:right w:val="nil"/>
          <w:between w:val="nil"/>
        </w:pBdr>
        <w:spacing w:line="360" w:lineRule="auto"/>
        <w:ind w:left="720"/>
        <w:rPr>
          <w:rFonts w:asciiTheme="minorHAnsi" w:eastAsia="Calibri" w:hAnsiTheme="minorHAnsi" w:cs="Calibri"/>
          <w:color w:val="404040"/>
        </w:rPr>
      </w:pPr>
      <w:r w:rsidRPr="000C081F">
        <w:rPr>
          <w:rFonts w:asciiTheme="minorHAnsi" w:eastAsia="Calibri" w:hAnsiTheme="minorHAnsi" w:cs="Calibri"/>
          <w:color w:val="404040"/>
        </w:rPr>
        <w:t xml:space="preserve">… the common law of New Zealand requires reference to the tikanga, along with other important cultural, spiritual and religious values, and all other circumstances of the case as matters that must form part of the evaluation. Personal representatives are required to consider these values if they form part of the deceased’s heritage, and, if the dispute is brought before the Court because someone is aggrieved with the personal representative’s decision, Māori burial practice must be </w:t>
      </w:r>
      <w:proofErr w:type="gramStart"/>
      <w:r w:rsidRPr="000C081F">
        <w:rPr>
          <w:rFonts w:asciiTheme="minorHAnsi" w:eastAsia="Calibri" w:hAnsiTheme="minorHAnsi" w:cs="Calibri"/>
          <w:color w:val="404040"/>
        </w:rPr>
        <w:t>taken into account</w:t>
      </w:r>
      <w:proofErr w:type="gramEnd"/>
      <w:r w:rsidRPr="000C081F">
        <w:rPr>
          <w:rFonts w:asciiTheme="minorHAnsi" w:eastAsia="Calibri" w:hAnsiTheme="minorHAnsi" w:cs="Calibri"/>
          <w:color w:val="404040"/>
        </w:rPr>
        <w:t xml:space="preserve">.  </w:t>
      </w:r>
    </w:p>
    <w:p w14:paraId="1AE7D354" w14:textId="77777777" w:rsidR="007810B4" w:rsidRPr="000C081F" w:rsidRDefault="007810B4" w:rsidP="00663D17">
      <w:pPr>
        <w:spacing w:line="360" w:lineRule="auto"/>
        <w:jc w:val="both"/>
        <w:rPr>
          <w:rFonts w:asciiTheme="minorHAnsi" w:eastAsia="Calibri" w:hAnsiTheme="minorHAnsi" w:cs="Calibri"/>
          <w:color w:val="000000"/>
        </w:rPr>
      </w:pPr>
    </w:p>
    <w:p w14:paraId="4AA2EB99" w14:textId="324597B0" w:rsidR="007810B4" w:rsidRPr="000C081F" w:rsidRDefault="007810B4" w:rsidP="00663D17">
      <w:pPr>
        <w:spacing w:line="360" w:lineRule="auto"/>
        <w:jc w:val="both"/>
        <w:rPr>
          <w:rFonts w:asciiTheme="minorHAnsi" w:eastAsia="Calibri" w:hAnsiTheme="minorHAnsi" w:cs="Calibri"/>
          <w:color w:val="000000"/>
        </w:rPr>
      </w:pPr>
      <w:r w:rsidRPr="000C081F">
        <w:rPr>
          <w:rFonts w:asciiTheme="minorHAnsi" w:eastAsia="Calibri" w:hAnsiTheme="minorHAnsi" w:cs="Calibri"/>
          <w:color w:val="000000"/>
        </w:rPr>
        <w:t>If a</w:t>
      </w:r>
      <w:r w:rsidR="00231968" w:rsidRPr="000C081F">
        <w:rPr>
          <w:rFonts w:asciiTheme="minorHAnsi" w:eastAsia="Calibri" w:hAnsiTheme="minorHAnsi" w:cs="Calibri"/>
          <w:color w:val="000000"/>
        </w:rPr>
        <w:t>n executor’s</w:t>
      </w:r>
      <w:r w:rsidRPr="000C081F">
        <w:rPr>
          <w:rFonts w:asciiTheme="minorHAnsi" w:eastAsia="Calibri" w:hAnsiTheme="minorHAnsi" w:cs="Calibri"/>
          <w:color w:val="000000"/>
        </w:rPr>
        <w:t xml:space="preserve"> decision is challenged, the Court “must also respect and permit the recognition of different cultural and other practices, as well as different family and other personal interests within the rubric of the common law decision-making process”.</w:t>
      </w:r>
      <w:r w:rsidRPr="000C081F">
        <w:rPr>
          <w:rFonts w:asciiTheme="minorHAnsi" w:eastAsia="Calibri" w:hAnsiTheme="minorHAnsi" w:cs="Calibri"/>
          <w:color w:val="000000"/>
          <w:vertAlign w:val="superscript"/>
        </w:rPr>
        <w:footnoteReference w:id="28"/>
      </w:r>
      <w:r w:rsidRPr="000C081F">
        <w:rPr>
          <w:rFonts w:asciiTheme="minorHAnsi" w:eastAsia="Calibri" w:hAnsiTheme="minorHAnsi" w:cs="Calibri"/>
          <w:color w:val="000000"/>
        </w:rPr>
        <w:t xml:space="preserve"> </w:t>
      </w:r>
    </w:p>
    <w:p w14:paraId="67351B41" w14:textId="77777777" w:rsidR="007810B4" w:rsidRPr="000C081F" w:rsidRDefault="007810B4" w:rsidP="00663D17">
      <w:pPr>
        <w:spacing w:line="360" w:lineRule="auto"/>
        <w:jc w:val="both"/>
        <w:rPr>
          <w:rFonts w:asciiTheme="minorHAnsi" w:eastAsia="Calibri" w:hAnsiTheme="minorHAnsi" w:cs="Calibri"/>
          <w:color w:val="000000"/>
        </w:rPr>
      </w:pPr>
    </w:p>
    <w:p w14:paraId="7B63822C" w14:textId="0B213ADC" w:rsidR="007810B4" w:rsidRPr="000C081F" w:rsidRDefault="00836FB7" w:rsidP="00663D17">
      <w:pPr>
        <w:spacing w:line="360" w:lineRule="auto"/>
        <w:jc w:val="both"/>
        <w:rPr>
          <w:rFonts w:asciiTheme="minorHAnsi" w:eastAsia="Calibri" w:hAnsiTheme="minorHAnsi" w:cs="Calibri"/>
          <w:color w:val="000000"/>
        </w:rPr>
      </w:pPr>
      <w:r w:rsidRPr="000C081F">
        <w:rPr>
          <w:rFonts w:asciiTheme="minorHAnsi" w:eastAsia="Calibri" w:hAnsiTheme="minorHAnsi" w:cs="Calibri"/>
          <w:color w:val="000000"/>
        </w:rPr>
        <w:t xml:space="preserve">When assessing the competing claims to decide where to bury Mr </w:t>
      </w:r>
      <w:proofErr w:type="spellStart"/>
      <w:r w:rsidRPr="000C081F">
        <w:rPr>
          <w:rFonts w:asciiTheme="minorHAnsi" w:eastAsia="Calibri" w:hAnsiTheme="minorHAnsi" w:cs="Calibri"/>
          <w:color w:val="000000"/>
        </w:rPr>
        <w:t>Takamore</w:t>
      </w:r>
      <w:proofErr w:type="spellEnd"/>
      <w:r w:rsidRPr="000C081F">
        <w:rPr>
          <w:rFonts w:asciiTheme="minorHAnsi" w:eastAsia="Calibri" w:hAnsiTheme="minorHAnsi" w:cs="Calibri"/>
          <w:color w:val="000000"/>
        </w:rPr>
        <w:t>, the</w:t>
      </w:r>
      <w:r w:rsidR="007810B4" w:rsidRPr="000C081F">
        <w:rPr>
          <w:rFonts w:asciiTheme="minorHAnsi" w:eastAsia="Calibri" w:hAnsiTheme="minorHAnsi" w:cs="Calibri"/>
          <w:color w:val="000000"/>
        </w:rPr>
        <w:t xml:space="preserve"> majority found that Ms Clarke’s </w:t>
      </w:r>
      <w:r w:rsidRPr="000C081F">
        <w:rPr>
          <w:rFonts w:asciiTheme="minorHAnsi" w:eastAsia="Calibri" w:hAnsiTheme="minorHAnsi" w:cs="Calibri"/>
          <w:color w:val="000000"/>
        </w:rPr>
        <w:t>right prevailed</w:t>
      </w:r>
      <w:r w:rsidR="007810B4"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In weighing up the respective claims, the Court found that the relevant factors</w:t>
      </w:r>
      <w:r w:rsidR="007810B4" w:rsidRPr="000C081F">
        <w:rPr>
          <w:rFonts w:asciiTheme="minorHAnsi" w:eastAsia="Calibri" w:hAnsiTheme="minorHAnsi" w:cs="Calibri"/>
          <w:color w:val="000000"/>
        </w:rPr>
        <w:t xml:space="preserve"> included, “first, the fact that Mr </w:t>
      </w:r>
      <w:proofErr w:type="spellStart"/>
      <w:r w:rsidR="007810B4" w:rsidRPr="000C081F">
        <w:rPr>
          <w:rFonts w:asciiTheme="minorHAnsi" w:eastAsia="Calibri" w:hAnsiTheme="minorHAnsi" w:cs="Calibri"/>
          <w:color w:val="000000"/>
        </w:rPr>
        <w:t>Takamore</w:t>
      </w:r>
      <w:proofErr w:type="spellEnd"/>
      <w:r w:rsidR="007810B4" w:rsidRPr="000C081F">
        <w:rPr>
          <w:rFonts w:asciiTheme="minorHAnsi" w:eastAsia="Calibri" w:hAnsiTheme="minorHAnsi" w:cs="Calibri"/>
          <w:color w:val="000000"/>
        </w:rPr>
        <w:t xml:space="preserve"> made his life in Christchurch with his partner and their children, living there with them for over 20 years </w:t>
      </w:r>
      <w:r w:rsidR="007810B4" w:rsidRPr="000C081F">
        <w:rPr>
          <w:rFonts w:asciiTheme="minorHAnsi" w:eastAsia="Calibri" w:hAnsiTheme="minorHAnsi" w:cs="Calibri"/>
          <w:color w:val="000000"/>
        </w:rPr>
        <w:lastRenderedPageBreak/>
        <w:t xml:space="preserve">until his death in 2007”, referring to the lack of relationship between Mr </w:t>
      </w:r>
      <w:proofErr w:type="spellStart"/>
      <w:r w:rsidR="007810B4" w:rsidRPr="000C081F">
        <w:rPr>
          <w:rFonts w:asciiTheme="minorHAnsi" w:eastAsia="Calibri" w:hAnsiTheme="minorHAnsi" w:cs="Calibri"/>
          <w:color w:val="000000"/>
        </w:rPr>
        <w:t>Takamore’s</w:t>
      </w:r>
      <w:proofErr w:type="spellEnd"/>
      <w:r w:rsidR="007810B4" w:rsidRPr="000C081F">
        <w:rPr>
          <w:rFonts w:asciiTheme="minorHAnsi" w:eastAsia="Calibri" w:hAnsiTheme="minorHAnsi" w:cs="Calibri"/>
          <w:color w:val="000000"/>
        </w:rPr>
        <w:t xml:space="preserve"> children and </w:t>
      </w:r>
      <w:r w:rsidRPr="000C081F">
        <w:rPr>
          <w:rFonts w:asciiTheme="minorHAnsi" w:eastAsia="Calibri" w:hAnsiTheme="minorHAnsi" w:cs="Calibri"/>
          <w:color w:val="000000"/>
        </w:rPr>
        <w:t xml:space="preserve">his tribal town of </w:t>
      </w:r>
      <w:proofErr w:type="spellStart"/>
      <w:r w:rsidR="007810B4" w:rsidRPr="000C081F">
        <w:rPr>
          <w:rFonts w:asciiTheme="minorHAnsi" w:eastAsia="Calibri" w:hAnsiTheme="minorHAnsi" w:cs="Calibri"/>
          <w:color w:val="000000"/>
        </w:rPr>
        <w:t>Kutarere</w:t>
      </w:r>
      <w:proofErr w:type="spellEnd"/>
      <w:r w:rsidR="007810B4" w:rsidRPr="000C081F">
        <w:rPr>
          <w:rFonts w:asciiTheme="minorHAnsi" w:eastAsia="Calibri" w:hAnsiTheme="minorHAnsi" w:cs="Calibri"/>
          <w:color w:val="000000"/>
        </w:rPr>
        <w:t xml:space="preserve">. “Secondly, </w:t>
      </w:r>
      <w:proofErr w:type="spellStart"/>
      <w:r w:rsidR="007810B4" w:rsidRPr="000C081F">
        <w:rPr>
          <w:rFonts w:asciiTheme="minorHAnsi" w:eastAsia="Calibri" w:hAnsiTheme="minorHAnsi" w:cs="Calibri"/>
          <w:color w:val="000000"/>
        </w:rPr>
        <w:t>Kuturere</w:t>
      </w:r>
      <w:proofErr w:type="spellEnd"/>
      <w:r w:rsidR="007810B4" w:rsidRPr="000C081F">
        <w:rPr>
          <w:rFonts w:asciiTheme="minorHAnsi" w:eastAsia="Calibri" w:hAnsiTheme="minorHAnsi" w:cs="Calibri"/>
          <w:color w:val="000000"/>
        </w:rPr>
        <w:t xml:space="preserve"> is the place of central importance to Mr </w:t>
      </w:r>
      <w:proofErr w:type="spellStart"/>
      <w:r w:rsidR="007810B4" w:rsidRPr="000C081F">
        <w:rPr>
          <w:rFonts w:asciiTheme="minorHAnsi" w:eastAsia="Calibri" w:hAnsiTheme="minorHAnsi" w:cs="Calibri"/>
          <w:color w:val="000000"/>
        </w:rPr>
        <w:t>Takamore’s</w:t>
      </w:r>
      <w:proofErr w:type="spellEnd"/>
      <w:r w:rsidR="007810B4" w:rsidRPr="000C081F">
        <w:rPr>
          <w:rFonts w:asciiTheme="minorHAnsi" w:eastAsia="Calibri" w:hAnsiTheme="minorHAnsi" w:cs="Calibri"/>
          <w:color w:val="000000"/>
        </w:rPr>
        <w:t xml:space="preserve"> Māori family and their custom.” Third, different views were expressed as to Mr </w:t>
      </w:r>
      <w:proofErr w:type="spellStart"/>
      <w:r w:rsidR="007810B4" w:rsidRPr="000C081F">
        <w:rPr>
          <w:rFonts w:asciiTheme="minorHAnsi" w:eastAsia="Calibri" w:hAnsiTheme="minorHAnsi" w:cs="Calibri"/>
          <w:color w:val="000000"/>
        </w:rPr>
        <w:t>Takamore’s</w:t>
      </w:r>
      <w:proofErr w:type="spellEnd"/>
      <w:r w:rsidR="007810B4" w:rsidRPr="000C081F">
        <w:rPr>
          <w:rFonts w:asciiTheme="minorHAnsi" w:eastAsia="Calibri" w:hAnsiTheme="minorHAnsi" w:cs="Calibri"/>
          <w:color w:val="000000"/>
        </w:rPr>
        <w:t xml:space="preserve"> own wishes. Fourth, Mrs Clarke and children wanted him buried in Christchurch</w:t>
      </w:r>
      <w:r w:rsidR="004953B5" w:rsidRPr="000C081F">
        <w:rPr>
          <w:rFonts w:asciiTheme="minorHAnsi" w:eastAsia="Calibri" w:hAnsiTheme="minorHAnsi" w:cs="Calibri"/>
          <w:color w:val="000000"/>
        </w:rPr>
        <w:t>.</w:t>
      </w:r>
      <w:r w:rsidR="007810B4" w:rsidRPr="000C081F">
        <w:rPr>
          <w:rFonts w:asciiTheme="minorHAnsi" w:eastAsia="Calibri" w:hAnsiTheme="minorHAnsi" w:cs="Calibri"/>
          <w:color w:val="000000"/>
        </w:rPr>
        <w:t xml:space="preserve"> </w:t>
      </w:r>
      <w:r w:rsidR="004953B5" w:rsidRPr="000C081F">
        <w:rPr>
          <w:rFonts w:asciiTheme="minorHAnsi" w:eastAsia="Calibri" w:hAnsiTheme="minorHAnsi" w:cs="Calibri"/>
          <w:color w:val="000000"/>
        </w:rPr>
        <w:t>F</w:t>
      </w:r>
      <w:r w:rsidR="007810B4" w:rsidRPr="000C081F">
        <w:rPr>
          <w:rFonts w:asciiTheme="minorHAnsi" w:eastAsia="Calibri" w:hAnsiTheme="minorHAnsi" w:cs="Calibri"/>
          <w:color w:val="000000"/>
        </w:rPr>
        <w:t xml:space="preserve">inally, although of little weight, Mr </w:t>
      </w:r>
      <w:proofErr w:type="spellStart"/>
      <w:r w:rsidR="007810B4" w:rsidRPr="000C081F">
        <w:rPr>
          <w:rFonts w:asciiTheme="minorHAnsi" w:eastAsia="Calibri" w:hAnsiTheme="minorHAnsi" w:cs="Calibri"/>
          <w:color w:val="000000"/>
        </w:rPr>
        <w:t>Takamore</w:t>
      </w:r>
      <w:proofErr w:type="spellEnd"/>
      <w:r w:rsidR="007810B4" w:rsidRPr="000C081F">
        <w:rPr>
          <w:rFonts w:asciiTheme="minorHAnsi" w:eastAsia="Calibri" w:hAnsiTheme="minorHAnsi" w:cs="Calibri"/>
          <w:color w:val="000000"/>
        </w:rPr>
        <w:t xml:space="preserve"> </w:t>
      </w:r>
      <w:r w:rsidR="004953B5" w:rsidRPr="000C081F">
        <w:rPr>
          <w:rFonts w:asciiTheme="minorHAnsi" w:eastAsia="Calibri" w:hAnsiTheme="minorHAnsi" w:cs="Calibri"/>
          <w:color w:val="000000"/>
        </w:rPr>
        <w:t xml:space="preserve">was </w:t>
      </w:r>
      <w:r w:rsidR="007810B4" w:rsidRPr="000C081F">
        <w:rPr>
          <w:rFonts w:asciiTheme="minorHAnsi" w:eastAsia="Calibri" w:hAnsiTheme="minorHAnsi" w:cs="Calibri"/>
          <w:color w:val="000000"/>
        </w:rPr>
        <w:t xml:space="preserve">buried in </w:t>
      </w:r>
      <w:proofErr w:type="spellStart"/>
      <w:r w:rsidR="007810B4" w:rsidRPr="000C081F">
        <w:rPr>
          <w:rFonts w:asciiTheme="minorHAnsi" w:eastAsia="Calibri" w:hAnsiTheme="minorHAnsi" w:cs="Calibri"/>
          <w:color w:val="000000"/>
        </w:rPr>
        <w:t>Kutarere</w:t>
      </w:r>
      <w:proofErr w:type="spellEnd"/>
      <w:r w:rsidR="007810B4" w:rsidRPr="000C081F">
        <w:rPr>
          <w:rFonts w:asciiTheme="minorHAnsi" w:eastAsia="Calibri" w:hAnsiTheme="minorHAnsi" w:cs="Calibri"/>
          <w:color w:val="000000"/>
        </w:rPr>
        <w:t>.</w:t>
      </w:r>
    </w:p>
    <w:p w14:paraId="3385D1F7" w14:textId="77777777"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p>
    <w:p w14:paraId="2FD4AD80" w14:textId="5003B71B" w:rsidR="007810B4" w:rsidRPr="000C081F" w:rsidRDefault="007810B4" w:rsidP="00663D17">
      <w:pPr>
        <w:spacing w:line="360" w:lineRule="auto"/>
        <w:jc w:val="both"/>
        <w:rPr>
          <w:rFonts w:asciiTheme="minorHAnsi" w:eastAsia="Calibri" w:hAnsiTheme="minorHAnsi" w:cs="Calibri"/>
          <w:color w:val="000000"/>
        </w:rPr>
      </w:pPr>
      <w:r w:rsidRPr="000C081F">
        <w:rPr>
          <w:rFonts w:asciiTheme="minorHAnsi" w:eastAsia="Calibri" w:hAnsiTheme="minorHAnsi" w:cs="Calibri"/>
          <w:color w:val="000000"/>
        </w:rPr>
        <w:t>However, while recognising the authority and influence of tikanga Māori, the Court also affirm</w:t>
      </w:r>
      <w:r w:rsidR="00836FB7" w:rsidRPr="000C081F">
        <w:rPr>
          <w:rFonts w:asciiTheme="minorHAnsi" w:eastAsia="Calibri" w:hAnsiTheme="minorHAnsi" w:cs="Calibri"/>
          <w:color w:val="000000"/>
        </w:rPr>
        <w:t>ed</w:t>
      </w:r>
      <w:r w:rsidRPr="000C081F">
        <w:rPr>
          <w:rFonts w:asciiTheme="minorHAnsi" w:eastAsia="Calibri" w:hAnsiTheme="minorHAnsi" w:cs="Calibri"/>
          <w:color w:val="000000"/>
        </w:rPr>
        <w:t xml:space="preserve"> the supremacy and the legitimacy of Parliament and state law. The majority in </w:t>
      </w:r>
      <w:proofErr w:type="spellStart"/>
      <w:r w:rsidRPr="000C081F">
        <w:rPr>
          <w:rFonts w:asciiTheme="minorHAnsi" w:eastAsia="Calibri" w:hAnsiTheme="minorHAnsi" w:cs="Calibri"/>
          <w:i/>
          <w:iCs/>
          <w:color w:val="000000"/>
        </w:rPr>
        <w:t>Takamore</w:t>
      </w:r>
      <w:proofErr w:type="spellEnd"/>
      <w:r w:rsidRPr="000C081F">
        <w:rPr>
          <w:rFonts w:asciiTheme="minorHAnsi" w:eastAsia="Calibri" w:hAnsiTheme="minorHAnsi" w:cs="Calibri"/>
          <w:color w:val="000000"/>
        </w:rPr>
        <w:t xml:space="preserve"> rejected the submission that the common law only applies to the extent it is not inconsistent with tikanga. Elias CJ noted that, “As in all cases where custom or values are invoked, the law cannot give effect to custom or values which are contrary to statute or fundamental principles and policies of the law.”</w:t>
      </w:r>
      <w:r w:rsidRPr="000C081F">
        <w:rPr>
          <w:rFonts w:asciiTheme="minorHAnsi" w:eastAsia="Calibri" w:hAnsiTheme="minorHAnsi" w:cs="Calibri"/>
          <w:color w:val="000000"/>
          <w:vertAlign w:val="superscript"/>
        </w:rPr>
        <w:footnoteReference w:id="29"/>
      </w:r>
      <w:r w:rsidRPr="000C081F">
        <w:rPr>
          <w:rFonts w:asciiTheme="minorHAnsi" w:eastAsia="Calibri" w:hAnsiTheme="minorHAnsi" w:cs="Calibri"/>
          <w:color w:val="000000"/>
        </w:rPr>
        <w:t xml:space="preserve">  </w:t>
      </w:r>
    </w:p>
    <w:p w14:paraId="0D10C6E5" w14:textId="77777777" w:rsidR="007810B4" w:rsidRPr="000C081F" w:rsidRDefault="007810B4" w:rsidP="00663D17">
      <w:pPr>
        <w:spacing w:line="360" w:lineRule="auto"/>
        <w:rPr>
          <w:rFonts w:asciiTheme="minorHAnsi" w:eastAsia="Calibri" w:hAnsiTheme="minorHAnsi" w:cs="Calibri"/>
          <w:color w:val="000000"/>
        </w:rPr>
      </w:pPr>
    </w:p>
    <w:p w14:paraId="24871F35" w14:textId="28CBF36D" w:rsidR="00F563F6" w:rsidRPr="000C081F" w:rsidRDefault="007810B4" w:rsidP="00663D17">
      <w:pPr>
        <w:spacing w:line="360" w:lineRule="auto"/>
        <w:rPr>
          <w:rFonts w:asciiTheme="minorHAnsi" w:eastAsia="Calibri" w:hAnsiTheme="minorHAnsi" w:cs="Calibri"/>
        </w:rPr>
      </w:pPr>
      <w:r w:rsidRPr="000C081F">
        <w:rPr>
          <w:rFonts w:asciiTheme="minorHAnsi" w:eastAsia="Calibri" w:hAnsiTheme="minorHAnsi" w:cs="Calibri"/>
        </w:rPr>
        <w:t xml:space="preserve">There are positive takeaways from this case: </w:t>
      </w:r>
    </w:p>
    <w:p w14:paraId="1B52927B" w14:textId="77777777" w:rsidR="00917C31" w:rsidRPr="000C081F" w:rsidRDefault="00917C31" w:rsidP="00663D17">
      <w:pPr>
        <w:spacing w:line="360" w:lineRule="auto"/>
        <w:rPr>
          <w:rFonts w:asciiTheme="minorHAnsi" w:eastAsia="Calibri" w:hAnsiTheme="minorHAnsi" w:cs="Calibri"/>
          <w:color w:val="000000"/>
        </w:rPr>
      </w:pPr>
    </w:p>
    <w:p w14:paraId="5243B1C7" w14:textId="723D8C3E" w:rsidR="007810B4" w:rsidRPr="000C081F" w:rsidRDefault="006102CF"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Aotearoa </w:t>
      </w:r>
      <w:r w:rsidR="00CE0286" w:rsidRPr="000C081F">
        <w:rPr>
          <w:rFonts w:asciiTheme="minorHAnsi" w:eastAsia="Calibri" w:hAnsiTheme="minorHAnsi" w:cs="Calibri"/>
        </w:rPr>
        <w:t>New Zealand’s highest court</w:t>
      </w:r>
      <w:r w:rsidR="00917C31" w:rsidRPr="000C081F">
        <w:rPr>
          <w:rFonts w:asciiTheme="minorHAnsi" w:eastAsia="Calibri" w:hAnsiTheme="minorHAnsi" w:cs="Calibri"/>
        </w:rPr>
        <w:t xml:space="preserve"> has</w:t>
      </w:r>
      <w:r w:rsidR="00CE0286" w:rsidRPr="000C081F">
        <w:rPr>
          <w:rFonts w:asciiTheme="minorHAnsi" w:eastAsia="Calibri" w:hAnsiTheme="minorHAnsi" w:cs="Calibri"/>
        </w:rPr>
        <w:t xml:space="preserve"> recognised tikanga Māori as a legal system functioning in </w:t>
      </w:r>
      <w:r w:rsidRPr="000C081F">
        <w:rPr>
          <w:rFonts w:asciiTheme="minorHAnsi" w:eastAsia="Calibri" w:hAnsiTheme="minorHAnsi" w:cs="Calibri"/>
        </w:rPr>
        <w:t>this state</w:t>
      </w:r>
      <w:r w:rsidR="00CE0286" w:rsidRPr="000C081F">
        <w:rPr>
          <w:rFonts w:asciiTheme="minorHAnsi" w:eastAsia="Calibri" w:hAnsiTheme="minorHAnsi" w:cs="Calibri"/>
        </w:rPr>
        <w:t xml:space="preserve">, upsetting the previously held assumption that </w:t>
      </w:r>
      <w:r w:rsidRPr="000C081F">
        <w:rPr>
          <w:rFonts w:asciiTheme="minorHAnsi" w:eastAsia="Calibri" w:hAnsiTheme="minorHAnsi" w:cs="Calibri"/>
        </w:rPr>
        <w:t xml:space="preserve">Aotearoa </w:t>
      </w:r>
      <w:r w:rsidR="00CE0286" w:rsidRPr="000C081F">
        <w:rPr>
          <w:rFonts w:asciiTheme="minorHAnsi" w:eastAsia="Calibri" w:hAnsiTheme="minorHAnsi" w:cs="Calibri"/>
        </w:rPr>
        <w:t>New Zealand is “mon</w:t>
      </w:r>
      <w:r w:rsidRPr="000C081F">
        <w:rPr>
          <w:rFonts w:asciiTheme="minorHAnsi" w:eastAsia="Calibri" w:hAnsiTheme="minorHAnsi" w:cs="Calibri"/>
        </w:rPr>
        <w:t>o</w:t>
      </w:r>
      <w:r w:rsidR="00CE0286" w:rsidRPr="000C081F">
        <w:rPr>
          <w:rFonts w:asciiTheme="minorHAnsi" w:eastAsia="Calibri" w:hAnsiTheme="minorHAnsi" w:cs="Calibri"/>
        </w:rPr>
        <w:t>-legal”</w:t>
      </w:r>
      <w:r w:rsidR="00194A9C" w:rsidRPr="000C081F">
        <w:rPr>
          <w:rFonts w:asciiTheme="minorHAnsi" w:eastAsia="Calibri" w:hAnsiTheme="minorHAnsi" w:cs="Calibri"/>
        </w:rPr>
        <w:t xml:space="preserve"> with only state law being applicable </w:t>
      </w:r>
      <w:r w:rsidR="00CE0286" w:rsidRPr="000C081F">
        <w:rPr>
          <w:rFonts w:asciiTheme="minorHAnsi" w:eastAsia="Calibri" w:hAnsiTheme="minorHAnsi" w:cs="Calibri"/>
        </w:rPr>
        <w:t xml:space="preserve">in these territories. </w:t>
      </w:r>
      <w:r w:rsidR="007810B4" w:rsidRPr="000C081F">
        <w:rPr>
          <w:rFonts w:asciiTheme="minorHAnsi" w:eastAsia="Calibri" w:hAnsiTheme="minorHAnsi" w:cs="Calibri"/>
        </w:rPr>
        <w:t xml:space="preserve"> </w:t>
      </w:r>
    </w:p>
    <w:p w14:paraId="378F4481"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0A0802BA" w14:textId="5EC2101A" w:rsidR="007810B4" w:rsidRPr="000C081F" w:rsidRDefault="00CE0286"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While the facts did not favour the </w:t>
      </w:r>
      <w:proofErr w:type="spellStart"/>
      <w:r w:rsidRPr="000C081F">
        <w:rPr>
          <w:rFonts w:asciiTheme="minorHAnsi" w:eastAsia="Calibri" w:hAnsiTheme="minorHAnsi" w:cs="Calibri"/>
        </w:rPr>
        <w:t>T</w:t>
      </w:r>
      <w:r w:rsidR="00194A9C" w:rsidRPr="000C081F">
        <w:rPr>
          <w:rFonts w:asciiTheme="minorHAnsi" w:eastAsia="Calibri" w:hAnsiTheme="minorHAnsi" w:cs="Calibri"/>
        </w:rPr>
        <w:t>ū</w:t>
      </w:r>
      <w:r w:rsidRPr="000C081F">
        <w:rPr>
          <w:rFonts w:asciiTheme="minorHAnsi" w:eastAsia="Calibri" w:hAnsiTheme="minorHAnsi" w:cs="Calibri"/>
        </w:rPr>
        <w:t>hoe</w:t>
      </w:r>
      <w:proofErr w:type="spellEnd"/>
      <w:r w:rsidRPr="000C081F">
        <w:rPr>
          <w:rFonts w:asciiTheme="minorHAnsi" w:eastAsia="Calibri" w:hAnsiTheme="minorHAnsi" w:cs="Calibri"/>
        </w:rPr>
        <w:t xml:space="preserve"> family in this specific case, with </w:t>
      </w:r>
      <w:r w:rsidR="00917C31" w:rsidRPr="000C081F">
        <w:rPr>
          <w:rFonts w:asciiTheme="minorHAnsi" w:eastAsia="Calibri" w:hAnsiTheme="minorHAnsi" w:cs="Calibri"/>
        </w:rPr>
        <w:t xml:space="preserve">favourable </w:t>
      </w:r>
      <w:r w:rsidRPr="000C081F">
        <w:rPr>
          <w:rFonts w:asciiTheme="minorHAnsi" w:eastAsia="Calibri" w:hAnsiTheme="minorHAnsi" w:cs="Calibri"/>
        </w:rPr>
        <w:t>facts, it</w:t>
      </w:r>
      <w:r w:rsidR="007810B4" w:rsidRPr="000C081F">
        <w:rPr>
          <w:rFonts w:asciiTheme="minorHAnsi" w:eastAsia="Calibri" w:hAnsiTheme="minorHAnsi" w:cs="Calibri"/>
        </w:rPr>
        <w:t xml:space="preserve"> c</w:t>
      </w:r>
      <w:r w:rsidR="007810B4" w:rsidRPr="000C081F">
        <w:rPr>
          <w:rFonts w:asciiTheme="minorHAnsi" w:eastAsia="Calibri" w:hAnsiTheme="minorHAnsi" w:cs="Calibri"/>
          <w:color w:val="000000"/>
        </w:rPr>
        <w:t xml:space="preserve">ould </w:t>
      </w:r>
      <w:r w:rsidR="00F563F6" w:rsidRPr="000C081F">
        <w:rPr>
          <w:rFonts w:asciiTheme="minorHAnsi" w:eastAsia="Calibri" w:hAnsiTheme="minorHAnsi" w:cs="Calibri"/>
          <w:color w:val="000000"/>
        </w:rPr>
        <w:t>open</w:t>
      </w:r>
      <w:r w:rsidR="007810B4" w:rsidRPr="000C081F">
        <w:rPr>
          <w:rFonts w:asciiTheme="minorHAnsi" w:eastAsia="Calibri" w:hAnsiTheme="minorHAnsi" w:cs="Calibri"/>
          <w:color w:val="000000"/>
        </w:rPr>
        <w:t xml:space="preserve"> a space for tikanga Māori to regulate where a person is buried </w:t>
      </w:r>
      <w:r w:rsidRPr="000C081F">
        <w:rPr>
          <w:rFonts w:asciiTheme="minorHAnsi" w:eastAsia="Calibri" w:hAnsiTheme="minorHAnsi" w:cs="Calibri"/>
          <w:color w:val="000000"/>
        </w:rPr>
        <w:t>in a way that tikanga would</w:t>
      </w:r>
      <w:r w:rsidR="007810B4" w:rsidRPr="000C081F">
        <w:rPr>
          <w:rFonts w:asciiTheme="minorHAnsi" w:eastAsia="Calibri" w:hAnsiTheme="minorHAnsi" w:cs="Calibri"/>
          <w:color w:val="000000"/>
        </w:rPr>
        <w:t xml:space="preserve"> take precedence. </w:t>
      </w:r>
    </w:p>
    <w:p w14:paraId="0FB93865"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705D4E78" w14:textId="53CD6697" w:rsidR="007810B4" w:rsidRPr="000C081F" w:rsidRDefault="007810B4"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Tikanga </w:t>
      </w:r>
      <w:r w:rsidR="00CE0286" w:rsidRPr="000C081F">
        <w:rPr>
          <w:rFonts w:asciiTheme="minorHAnsi" w:eastAsia="Calibri" w:hAnsiTheme="minorHAnsi" w:cs="Calibri"/>
        </w:rPr>
        <w:t>is</w:t>
      </w:r>
      <w:r w:rsidRPr="000C081F">
        <w:rPr>
          <w:rFonts w:asciiTheme="minorHAnsi" w:eastAsia="Calibri" w:hAnsiTheme="minorHAnsi" w:cs="Calibri"/>
          <w:color w:val="000000"/>
        </w:rPr>
        <w:t xml:space="preserve"> part of common law</w:t>
      </w:r>
      <w:r w:rsidR="00CE0286" w:rsidRPr="000C081F">
        <w:rPr>
          <w:rFonts w:asciiTheme="minorHAnsi" w:eastAsia="Calibri" w:hAnsiTheme="minorHAnsi" w:cs="Calibri"/>
          <w:color w:val="000000"/>
        </w:rPr>
        <w:t xml:space="preserve"> in </w:t>
      </w:r>
      <w:r w:rsidR="00917C31" w:rsidRPr="000C081F">
        <w:rPr>
          <w:rFonts w:asciiTheme="minorHAnsi" w:eastAsia="Calibri" w:hAnsiTheme="minorHAnsi" w:cs="Calibri"/>
          <w:color w:val="000000"/>
        </w:rPr>
        <w:t>some</w:t>
      </w:r>
      <w:r w:rsidR="00CE0286" w:rsidRPr="000C081F">
        <w:rPr>
          <w:rFonts w:asciiTheme="minorHAnsi" w:eastAsia="Calibri" w:hAnsiTheme="minorHAnsi" w:cs="Calibri"/>
          <w:color w:val="000000"/>
        </w:rPr>
        <w:t xml:space="preserve"> cases, such as this one</w:t>
      </w:r>
      <w:r w:rsidRPr="000C081F">
        <w:rPr>
          <w:rFonts w:asciiTheme="minorHAnsi" w:eastAsia="Calibri" w:hAnsiTheme="minorHAnsi" w:cs="Calibri"/>
          <w:color w:val="000000"/>
        </w:rPr>
        <w:t>.</w:t>
      </w:r>
    </w:p>
    <w:p w14:paraId="46983493" w14:textId="77777777" w:rsidR="007810B4" w:rsidRPr="000C081F" w:rsidRDefault="007810B4" w:rsidP="00663D17">
      <w:pPr>
        <w:spacing w:line="360" w:lineRule="auto"/>
        <w:rPr>
          <w:rFonts w:asciiTheme="minorHAnsi" w:eastAsia="Calibri" w:hAnsiTheme="minorHAnsi" w:cs="Calibri"/>
          <w:color w:val="000000"/>
        </w:rPr>
      </w:pPr>
    </w:p>
    <w:p w14:paraId="5825C34B" w14:textId="248030C0" w:rsidR="007810B4" w:rsidRPr="000C081F" w:rsidRDefault="00CE0286" w:rsidP="00663D17">
      <w:pPr>
        <w:spacing w:line="360" w:lineRule="auto"/>
        <w:rPr>
          <w:rFonts w:asciiTheme="minorHAnsi" w:eastAsia="Calibri" w:hAnsiTheme="minorHAnsi" w:cs="Calibri"/>
        </w:rPr>
      </w:pPr>
      <w:r w:rsidRPr="000C081F">
        <w:rPr>
          <w:rFonts w:asciiTheme="minorHAnsi" w:eastAsia="Calibri" w:hAnsiTheme="minorHAnsi" w:cs="Calibri"/>
        </w:rPr>
        <w:t xml:space="preserve">However, there are </w:t>
      </w:r>
      <w:proofErr w:type="gramStart"/>
      <w:r w:rsidRPr="000C081F">
        <w:rPr>
          <w:rFonts w:asciiTheme="minorHAnsi" w:eastAsia="Calibri" w:hAnsiTheme="minorHAnsi" w:cs="Calibri"/>
        </w:rPr>
        <w:t>less</w:t>
      </w:r>
      <w:proofErr w:type="gramEnd"/>
      <w:r w:rsidRPr="000C081F">
        <w:rPr>
          <w:rFonts w:asciiTheme="minorHAnsi" w:eastAsia="Calibri" w:hAnsiTheme="minorHAnsi" w:cs="Calibri"/>
        </w:rPr>
        <w:t xml:space="preserve"> positive implications of the case from the perspective of recognition of tikanga Māori in Aotearoa</w:t>
      </w:r>
      <w:r w:rsidR="006102CF" w:rsidRPr="000C081F">
        <w:rPr>
          <w:rFonts w:asciiTheme="minorHAnsi" w:eastAsia="Calibri" w:hAnsiTheme="minorHAnsi" w:cs="Calibri"/>
        </w:rPr>
        <w:t xml:space="preserve"> </w:t>
      </w:r>
      <w:r w:rsidRPr="000C081F">
        <w:rPr>
          <w:rFonts w:asciiTheme="minorHAnsi" w:eastAsia="Calibri" w:hAnsiTheme="minorHAnsi" w:cs="Calibri"/>
        </w:rPr>
        <w:t>New Zealand:</w:t>
      </w:r>
    </w:p>
    <w:p w14:paraId="45132DD6" w14:textId="77777777" w:rsidR="00917C31" w:rsidRPr="000C081F" w:rsidRDefault="00917C31" w:rsidP="00663D17">
      <w:pPr>
        <w:spacing w:line="360" w:lineRule="auto"/>
        <w:rPr>
          <w:rFonts w:asciiTheme="minorHAnsi" w:eastAsia="Calibri" w:hAnsiTheme="minorHAnsi" w:cs="Calibri"/>
        </w:rPr>
      </w:pPr>
    </w:p>
    <w:p w14:paraId="3BC1F08F" w14:textId="0BD24CFA" w:rsidR="007810B4" w:rsidRPr="000C081F" w:rsidRDefault="007810B4"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lastRenderedPageBreak/>
        <w:t xml:space="preserve">The finding </w:t>
      </w:r>
      <w:r w:rsidR="00194A9C" w:rsidRPr="000C081F">
        <w:rPr>
          <w:rFonts w:asciiTheme="minorHAnsi" w:eastAsia="Calibri" w:hAnsiTheme="minorHAnsi" w:cs="Calibri"/>
        </w:rPr>
        <w:t>wa</w:t>
      </w:r>
      <w:r w:rsidRPr="000C081F">
        <w:rPr>
          <w:rFonts w:asciiTheme="minorHAnsi" w:eastAsia="Calibri" w:hAnsiTheme="minorHAnsi" w:cs="Calibri"/>
        </w:rPr>
        <w:t xml:space="preserve">s </w:t>
      </w:r>
      <w:r w:rsidRPr="000C081F">
        <w:rPr>
          <w:rFonts w:asciiTheme="minorHAnsi" w:eastAsia="Calibri" w:hAnsiTheme="minorHAnsi" w:cs="Calibri"/>
          <w:color w:val="000000"/>
        </w:rPr>
        <w:t xml:space="preserve">NOT that state law has to conform to tikanga Māori, which would be more consistent with </w:t>
      </w:r>
      <w:proofErr w:type="spellStart"/>
      <w:r w:rsidRPr="000C081F">
        <w:rPr>
          <w:rFonts w:asciiTheme="minorHAnsi" w:eastAsia="Calibri" w:hAnsiTheme="minorHAnsi" w:cs="Calibri"/>
          <w:color w:val="000000"/>
        </w:rPr>
        <w:t>te</w:t>
      </w:r>
      <w:proofErr w:type="spellEnd"/>
      <w:r w:rsidRPr="000C081F">
        <w:rPr>
          <w:rFonts w:asciiTheme="minorHAnsi" w:eastAsia="Calibri" w:hAnsiTheme="minorHAnsi" w:cs="Calibri"/>
          <w:color w:val="000000"/>
        </w:rPr>
        <w:t xml:space="preserve"> Tiriti o Waitangi.</w:t>
      </w:r>
    </w:p>
    <w:p w14:paraId="32E987B9"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1A366F66" w14:textId="4B4A169F" w:rsidR="007810B4" w:rsidRPr="000C081F" w:rsidRDefault="007810B4"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Tikanga is subordinate</w:t>
      </w:r>
      <w:r w:rsidRPr="000C081F">
        <w:rPr>
          <w:rFonts w:asciiTheme="minorHAnsi" w:eastAsia="Calibri" w:hAnsiTheme="minorHAnsi" w:cs="Calibri"/>
          <w:color w:val="000000"/>
        </w:rPr>
        <w:t xml:space="preserve"> to legislation</w:t>
      </w:r>
      <w:r w:rsidR="00CE0286" w:rsidRPr="000C081F">
        <w:rPr>
          <w:rFonts w:asciiTheme="minorHAnsi" w:eastAsia="Calibri" w:hAnsiTheme="minorHAnsi" w:cs="Calibri"/>
          <w:color w:val="000000"/>
        </w:rPr>
        <w:t xml:space="preserve"> and does not replace the common law</w:t>
      </w:r>
      <w:r w:rsidRPr="000C081F">
        <w:rPr>
          <w:rFonts w:asciiTheme="minorHAnsi" w:eastAsia="Calibri" w:hAnsiTheme="minorHAnsi" w:cs="Calibri"/>
          <w:color w:val="000000"/>
        </w:rPr>
        <w:t>.</w:t>
      </w:r>
    </w:p>
    <w:p w14:paraId="6A172FBF"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355C608A" w14:textId="4B0F1138" w:rsidR="007810B4" w:rsidRPr="000C081F" w:rsidRDefault="00CE0286"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In deci</w:t>
      </w:r>
      <w:r w:rsidR="00194A9C" w:rsidRPr="000C081F">
        <w:rPr>
          <w:rFonts w:asciiTheme="minorHAnsi" w:eastAsia="Calibri" w:hAnsiTheme="minorHAnsi" w:cs="Calibri"/>
          <w:color w:val="000000"/>
        </w:rPr>
        <w:t>ding</w:t>
      </w:r>
      <w:r w:rsidRPr="000C081F">
        <w:rPr>
          <w:rFonts w:asciiTheme="minorHAnsi" w:eastAsia="Calibri" w:hAnsiTheme="minorHAnsi" w:cs="Calibri"/>
          <w:color w:val="000000"/>
        </w:rPr>
        <w:t xml:space="preserve"> on the facts</w:t>
      </w:r>
      <w:r w:rsidR="00194A9C" w:rsidRPr="000C081F">
        <w:rPr>
          <w:rFonts w:asciiTheme="minorHAnsi" w:eastAsia="Calibri" w:hAnsiTheme="minorHAnsi" w:cs="Calibri"/>
          <w:color w:val="000000"/>
        </w:rPr>
        <w:t xml:space="preserve"> and</w:t>
      </w:r>
      <w:r w:rsidRPr="000C081F">
        <w:rPr>
          <w:rFonts w:asciiTheme="minorHAnsi" w:eastAsia="Calibri" w:hAnsiTheme="minorHAnsi" w:cs="Calibri"/>
          <w:color w:val="000000"/>
        </w:rPr>
        <w:t xml:space="preserve"> balancing the various claims, tikanga Māori was</w:t>
      </w:r>
      <w:r w:rsidR="007810B4" w:rsidRPr="000C081F">
        <w:rPr>
          <w:rFonts w:asciiTheme="minorHAnsi" w:eastAsia="Calibri" w:hAnsiTheme="minorHAnsi" w:cs="Calibri"/>
          <w:color w:val="000000"/>
        </w:rPr>
        <w:t xml:space="preserve"> just one factor amongst many.</w:t>
      </w:r>
    </w:p>
    <w:p w14:paraId="2FE6A9B1"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5756C9AC" w14:textId="2B4BA064" w:rsidR="007810B4" w:rsidRPr="000C081F" w:rsidRDefault="00CE0286" w:rsidP="00663D17">
      <w:pPr>
        <w:numPr>
          <w:ilvl w:val="0"/>
          <w:numId w:val="16"/>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I</w:t>
      </w:r>
      <w:r w:rsidR="007810B4" w:rsidRPr="000C081F">
        <w:rPr>
          <w:rFonts w:asciiTheme="minorHAnsi" w:eastAsia="Calibri" w:hAnsiTheme="minorHAnsi" w:cs="Calibri"/>
          <w:color w:val="000000"/>
        </w:rPr>
        <w:t xml:space="preserve">t is </w:t>
      </w:r>
      <w:r w:rsidRPr="000C081F">
        <w:rPr>
          <w:rFonts w:asciiTheme="minorHAnsi" w:eastAsia="Calibri" w:hAnsiTheme="minorHAnsi" w:cs="Calibri"/>
          <w:color w:val="000000"/>
        </w:rPr>
        <w:t>difficult</w:t>
      </w:r>
      <w:r w:rsidR="007810B4" w:rsidRPr="000C081F">
        <w:rPr>
          <w:rFonts w:asciiTheme="minorHAnsi" w:eastAsia="Calibri" w:hAnsiTheme="minorHAnsi" w:cs="Calibri"/>
          <w:color w:val="000000"/>
        </w:rPr>
        <w:t xml:space="preserve"> to imagine a case where tikanga Māori would be </w:t>
      </w:r>
      <w:r w:rsidR="00F563F6" w:rsidRPr="000C081F">
        <w:rPr>
          <w:rFonts w:asciiTheme="minorHAnsi" w:eastAsia="Calibri" w:hAnsiTheme="minorHAnsi" w:cs="Calibri"/>
          <w:color w:val="000000"/>
        </w:rPr>
        <w:t>so easy to establish</w:t>
      </w:r>
      <w:r w:rsidR="007810B4" w:rsidRPr="000C081F">
        <w:rPr>
          <w:rFonts w:asciiTheme="minorHAnsi" w:eastAsia="Calibri" w:hAnsiTheme="minorHAnsi" w:cs="Calibri"/>
          <w:color w:val="000000"/>
        </w:rPr>
        <w:t>.</w:t>
      </w:r>
    </w:p>
    <w:p w14:paraId="2070B738" w14:textId="77777777" w:rsidR="009927CD" w:rsidRPr="000C081F" w:rsidRDefault="009927CD" w:rsidP="00663D17">
      <w:pPr>
        <w:pBdr>
          <w:top w:val="nil"/>
          <w:left w:val="nil"/>
          <w:bottom w:val="nil"/>
          <w:right w:val="nil"/>
          <w:between w:val="nil"/>
        </w:pBdr>
        <w:spacing w:line="360" w:lineRule="auto"/>
        <w:rPr>
          <w:rFonts w:asciiTheme="minorHAnsi" w:eastAsia="Calibri" w:hAnsiTheme="minorHAnsi" w:cs="Calibri"/>
          <w:color w:val="000000"/>
        </w:rPr>
      </w:pPr>
    </w:p>
    <w:p w14:paraId="0885A764" w14:textId="3A0415E8" w:rsidR="00F563F6" w:rsidRPr="000C081F" w:rsidRDefault="009927CD" w:rsidP="00663D17">
      <w:pPr>
        <w:pStyle w:val="Heading2"/>
      </w:pPr>
      <w:r w:rsidRPr="000C081F">
        <w:t xml:space="preserve">E </w:t>
      </w:r>
      <w:r w:rsidR="007810B4" w:rsidRPr="000C081F">
        <w:t>Tikanga in Environmental Law</w:t>
      </w:r>
    </w:p>
    <w:p w14:paraId="63262FCC" w14:textId="77777777" w:rsidR="009927CD" w:rsidRPr="000C081F" w:rsidRDefault="009927CD" w:rsidP="00663D17">
      <w:pPr>
        <w:spacing w:line="360" w:lineRule="auto"/>
        <w:rPr>
          <w:rFonts w:asciiTheme="minorHAnsi" w:hAnsiTheme="minorHAnsi"/>
        </w:rPr>
      </w:pPr>
    </w:p>
    <w:p w14:paraId="3783AF97" w14:textId="2F641464" w:rsidR="007810B4" w:rsidRPr="000C081F" w:rsidRDefault="00F563F6" w:rsidP="00663D17">
      <w:pPr>
        <w:spacing w:line="360" w:lineRule="auto"/>
        <w:rPr>
          <w:rFonts w:asciiTheme="minorHAnsi" w:hAnsiTheme="minorHAnsi"/>
        </w:rPr>
      </w:pPr>
      <w:r w:rsidRPr="000C081F">
        <w:rPr>
          <w:rFonts w:asciiTheme="minorHAnsi" w:hAnsiTheme="minorHAnsi"/>
          <w:iCs/>
        </w:rPr>
        <w:t xml:space="preserve">In </w:t>
      </w:r>
      <w:r w:rsidR="007810B4" w:rsidRPr="000C081F">
        <w:rPr>
          <w:rFonts w:asciiTheme="minorHAnsi" w:hAnsiTheme="minorHAnsi"/>
          <w:i/>
          <w:iCs/>
        </w:rPr>
        <w:t>Trans-Tasman Resources Ltd v Taranaki-Whanganui Conservation Board</w:t>
      </w:r>
      <w:r w:rsidRPr="000C081F">
        <w:rPr>
          <w:rFonts w:asciiTheme="minorHAnsi" w:hAnsiTheme="minorHAnsi"/>
          <w:iCs/>
        </w:rPr>
        <w:t xml:space="preserve"> the facts were as follows:</w:t>
      </w:r>
      <w:r w:rsidRPr="000C081F">
        <w:rPr>
          <w:rStyle w:val="FootnoteReference"/>
          <w:rFonts w:asciiTheme="minorHAnsi" w:eastAsia="Calibri" w:hAnsiTheme="minorHAnsi" w:cs="Calibri"/>
          <w:iCs/>
          <w:color w:val="000000"/>
        </w:rPr>
        <w:footnoteReference w:id="30"/>
      </w:r>
      <w:r w:rsidR="007810B4" w:rsidRPr="000C081F">
        <w:rPr>
          <w:rFonts w:asciiTheme="minorHAnsi" w:hAnsiTheme="minorHAnsi"/>
        </w:rPr>
        <w:t xml:space="preserve"> </w:t>
      </w:r>
    </w:p>
    <w:p w14:paraId="58662477" w14:textId="77777777" w:rsidR="00917C31" w:rsidRPr="000C081F" w:rsidRDefault="00917C31" w:rsidP="00663D17">
      <w:pPr>
        <w:spacing w:line="360" w:lineRule="auto"/>
        <w:rPr>
          <w:rFonts w:asciiTheme="minorHAnsi" w:hAnsiTheme="minorHAnsi"/>
        </w:rPr>
      </w:pPr>
    </w:p>
    <w:p w14:paraId="18DB4D11" w14:textId="6191DC18" w:rsidR="007810B4" w:rsidRPr="000C081F" w:rsidRDefault="00F563F6" w:rsidP="00663D17">
      <w:pPr>
        <w:numPr>
          <w:ilvl w:val="0"/>
          <w:numId w:val="2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The Environmental Author</w:t>
      </w:r>
      <w:r w:rsidR="006D5770" w:rsidRPr="000C081F">
        <w:rPr>
          <w:rFonts w:asciiTheme="minorHAnsi" w:eastAsia="Calibri" w:hAnsiTheme="minorHAnsi" w:cs="Calibri"/>
          <w:color w:val="000000"/>
        </w:rPr>
        <w:t>it</w:t>
      </w:r>
      <w:r w:rsidRPr="000C081F">
        <w:rPr>
          <w:rFonts w:asciiTheme="minorHAnsi" w:eastAsia="Calibri" w:hAnsiTheme="minorHAnsi" w:cs="Calibri"/>
          <w:color w:val="000000"/>
        </w:rPr>
        <w:t xml:space="preserve">y granted </w:t>
      </w:r>
      <w:r w:rsidR="007810B4" w:rsidRPr="000C081F">
        <w:rPr>
          <w:rFonts w:asciiTheme="minorHAnsi" w:eastAsia="Calibri" w:hAnsiTheme="minorHAnsi" w:cs="Calibri"/>
          <w:color w:val="000000"/>
        </w:rPr>
        <w:t>Tra</w:t>
      </w:r>
      <w:r w:rsidR="007810B4" w:rsidRPr="000C081F">
        <w:rPr>
          <w:rFonts w:asciiTheme="minorHAnsi" w:eastAsia="Calibri" w:hAnsiTheme="minorHAnsi" w:cs="Calibri"/>
        </w:rPr>
        <w:t>ns-</w:t>
      </w:r>
      <w:r w:rsidR="007810B4" w:rsidRPr="000C081F">
        <w:rPr>
          <w:rFonts w:asciiTheme="minorHAnsi" w:eastAsia="Calibri" w:hAnsiTheme="minorHAnsi" w:cs="Calibri"/>
          <w:color w:val="000000"/>
        </w:rPr>
        <w:t>Tasman</w:t>
      </w:r>
      <w:r w:rsidRPr="000C081F">
        <w:rPr>
          <w:rFonts w:asciiTheme="minorHAnsi" w:eastAsia="Calibri" w:hAnsiTheme="minorHAnsi" w:cs="Calibri"/>
          <w:color w:val="000000"/>
        </w:rPr>
        <w:t xml:space="preserve"> Resourced Ltd</w:t>
      </w:r>
      <w:r w:rsidR="007810B4" w:rsidRPr="000C081F">
        <w:rPr>
          <w:rFonts w:asciiTheme="minorHAnsi" w:eastAsia="Calibri" w:hAnsiTheme="minorHAnsi" w:cs="Calibri"/>
          <w:color w:val="000000"/>
        </w:rPr>
        <w:t xml:space="preserve"> concessions to mine iron sands off Taranaki</w:t>
      </w:r>
      <w:r w:rsidRPr="000C081F">
        <w:rPr>
          <w:rFonts w:asciiTheme="minorHAnsi" w:eastAsia="Calibri" w:hAnsiTheme="minorHAnsi" w:cs="Calibri"/>
          <w:color w:val="000000"/>
        </w:rPr>
        <w:t xml:space="preserve"> under Aotearoa</w:t>
      </w:r>
      <w:r w:rsidR="006102CF"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New Zealand’s Exclusive Economic Zone (EEZ) legislation</w:t>
      </w:r>
      <w:r w:rsidR="007810B4" w:rsidRPr="000C081F">
        <w:rPr>
          <w:rFonts w:asciiTheme="minorHAnsi" w:eastAsia="Calibri" w:hAnsiTheme="minorHAnsi" w:cs="Calibri"/>
          <w:color w:val="000000"/>
        </w:rPr>
        <w:t>.</w:t>
      </w:r>
    </w:p>
    <w:p w14:paraId="2CB3AFF4"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1FC8C507" w14:textId="33A0111C" w:rsidR="007810B4" w:rsidRPr="000C081F" w:rsidRDefault="007810B4" w:rsidP="00663D17">
      <w:pPr>
        <w:numPr>
          <w:ilvl w:val="0"/>
          <w:numId w:val="2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The </w:t>
      </w:r>
      <w:r w:rsidR="00F563F6" w:rsidRPr="000C081F">
        <w:rPr>
          <w:rFonts w:asciiTheme="minorHAnsi" w:eastAsia="Calibri" w:hAnsiTheme="minorHAnsi" w:cs="Calibri"/>
          <w:color w:val="000000"/>
        </w:rPr>
        <w:t xml:space="preserve">Taranaki-Whanganui Conservation Board </w:t>
      </w:r>
      <w:r w:rsidRPr="000C081F">
        <w:rPr>
          <w:rFonts w:asciiTheme="minorHAnsi" w:eastAsia="Calibri" w:hAnsiTheme="minorHAnsi" w:cs="Calibri"/>
          <w:color w:val="000000"/>
        </w:rPr>
        <w:t xml:space="preserve">opposed the consents because of the effects of the proposed activity on the environment and other existing interests including those of iwi holding mana </w:t>
      </w:r>
      <w:proofErr w:type="spellStart"/>
      <w:r w:rsidRPr="000C081F">
        <w:rPr>
          <w:rFonts w:asciiTheme="minorHAnsi" w:eastAsia="Calibri" w:hAnsiTheme="minorHAnsi" w:cs="Calibri"/>
          <w:color w:val="000000"/>
        </w:rPr>
        <w:t>moana</w:t>
      </w:r>
      <w:r w:rsidR="00F563F6" w:rsidRPr="000C081F">
        <w:rPr>
          <w:rFonts w:asciiTheme="minorHAnsi" w:eastAsia="Calibri" w:hAnsiTheme="minorHAnsi" w:cs="Calibri"/>
          <w:color w:val="000000"/>
        </w:rPr>
        <w:t>|authority</w:t>
      </w:r>
      <w:proofErr w:type="spellEnd"/>
      <w:r w:rsidRPr="000C081F">
        <w:rPr>
          <w:rFonts w:asciiTheme="minorHAnsi" w:eastAsia="Calibri" w:hAnsiTheme="minorHAnsi" w:cs="Calibri"/>
          <w:color w:val="000000"/>
        </w:rPr>
        <w:t xml:space="preserve"> and </w:t>
      </w:r>
      <w:proofErr w:type="spellStart"/>
      <w:r w:rsidRPr="000C081F">
        <w:rPr>
          <w:rFonts w:asciiTheme="minorHAnsi" w:eastAsia="Calibri" w:hAnsiTheme="minorHAnsi" w:cs="Calibri"/>
          <w:color w:val="000000"/>
        </w:rPr>
        <w:t>kaitiaki</w:t>
      </w:r>
      <w:r w:rsidR="00F563F6" w:rsidRPr="000C081F">
        <w:rPr>
          <w:rFonts w:asciiTheme="minorHAnsi" w:eastAsia="Calibri" w:hAnsiTheme="minorHAnsi" w:cs="Calibri"/>
          <w:color w:val="000000"/>
        </w:rPr>
        <w:t>|guardianship</w:t>
      </w:r>
      <w:proofErr w:type="spellEnd"/>
      <w:r w:rsidRPr="000C081F">
        <w:rPr>
          <w:rFonts w:asciiTheme="minorHAnsi" w:eastAsia="Calibri" w:hAnsiTheme="minorHAnsi" w:cs="Calibri"/>
          <w:color w:val="000000"/>
        </w:rPr>
        <w:t xml:space="preserve"> responsibilities in the areas affected by the proposed mining.</w:t>
      </w:r>
    </w:p>
    <w:p w14:paraId="63BB640D"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4A849EA1" w14:textId="32297C96" w:rsidR="00F563F6" w:rsidRPr="000C081F" w:rsidRDefault="007810B4" w:rsidP="00663D17">
      <w:pPr>
        <w:numPr>
          <w:ilvl w:val="0"/>
          <w:numId w:val="2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 case</w:t>
      </w:r>
      <w:r w:rsidR="00F563F6" w:rsidRPr="000C081F">
        <w:rPr>
          <w:rFonts w:asciiTheme="minorHAnsi" w:eastAsia="Calibri" w:hAnsiTheme="minorHAnsi" w:cs="Calibri"/>
        </w:rPr>
        <w:t xml:space="preserve"> eventually</w:t>
      </w:r>
      <w:r w:rsidRPr="000C081F">
        <w:rPr>
          <w:rFonts w:asciiTheme="minorHAnsi" w:eastAsia="Calibri" w:hAnsiTheme="minorHAnsi" w:cs="Calibri"/>
        </w:rPr>
        <w:t xml:space="preserve"> l</w:t>
      </w:r>
      <w:r w:rsidRPr="000C081F">
        <w:rPr>
          <w:rFonts w:asciiTheme="minorHAnsi" w:eastAsia="Calibri" w:hAnsiTheme="minorHAnsi" w:cs="Calibri"/>
          <w:color w:val="000000"/>
        </w:rPr>
        <w:t>anded in the Supreme Court.</w:t>
      </w:r>
      <w:r w:rsidR="00F563F6" w:rsidRPr="000C081F">
        <w:rPr>
          <w:rFonts w:asciiTheme="minorHAnsi" w:eastAsia="Calibri" w:hAnsiTheme="minorHAnsi" w:cs="Calibri"/>
          <w:color w:val="000000"/>
        </w:rPr>
        <w:t xml:space="preserve"> </w:t>
      </w:r>
      <w:r w:rsidRPr="000C081F">
        <w:rPr>
          <w:rFonts w:asciiTheme="minorHAnsi" w:eastAsia="Calibri" w:hAnsiTheme="minorHAnsi" w:cs="Calibri"/>
        </w:rPr>
        <w:t>It h</w:t>
      </w:r>
      <w:r w:rsidRPr="000C081F">
        <w:rPr>
          <w:rFonts w:asciiTheme="minorHAnsi" w:eastAsia="Calibri" w:hAnsiTheme="minorHAnsi" w:cs="Calibri"/>
          <w:color w:val="000000"/>
        </w:rPr>
        <w:t xml:space="preserve">eld </w:t>
      </w:r>
      <w:r w:rsidRPr="000C081F">
        <w:rPr>
          <w:rFonts w:asciiTheme="minorHAnsi" w:eastAsia="Calibri" w:hAnsiTheme="minorHAnsi" w:cs="Calibri"/>
        </w:rPr>
        <w:t>that the Environmental</w:t>
      </w:r>
      <w:r w:rsidRPr="000C081F">
        <w:rPr>
          <w:rFonts w:asciiTheme="minorHAnsi" w:eastAsia="Calibri" w:hAnsiTheme="minorHAnsi" w:cs="Calibri"/>
          <w:color w:val="000000"/>
        </w:rPr>
        <w:t xml:space="preserve"> Authority didn’t adequately provide for a </w:t>
      </w:r>
      <w:r w:rsidR="00F563F6" w:rsidRPr="000C081F">
        <w:rPr>
          <w:rFonts w:asciiTheme="minorHAnsi" w:eastAsia="Calibri" w:hAnsiTheme="minorHAnsi" w:cs="Calibri"/>
          <w:color w:val="000000"/>
        </w:rPr>
        <w:t>“</w:t>
      </w:r>
      <w:r w:rsidRPr="000C081F">
        <w:rPr>
          <w:rFonts w:asciiTheme="minorHAnsi" w:eastAsia="Calibri" w:hAnsiTheme="minorHAnsi" w:cs="Calibri"/>
          <w:color w:val="000000"/>
        </w:rPr>
        <w:t>precautionary principle</w:t>
      </w:r>
      <w:r w:rsidR="00F563F6"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which was required by the EEZ legislation. </w:t>
      </w:r>
      <w:r w:rsidR="00F563F6" w:rsidRPr="000C081F">
        <w:rPr>
          <w:rFonts w:asciiTheme="minorHAnsi" w:eastAsia="Calibri" w:hAnsiTheme="minorHAnsi" w:cs="Calibri"/>
          <w:color w:val="000000"/>
        </w:rPr>
        <w:t xml:space="preserve">Under that principle, where there is a risk of harm, albeit not yet proven, no action should be taken until there is scientific proof that there will be no harm.  </w:t>
      </w:r>
    </w:p>
    <w:p w14:paraId="3D8FC30E"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7BE5BFFF" w14:textId="3CD8AC57" w:rsidR="007810B4" w:rsidRPr="000C081F" w:rsidRDefault="00F563F6" w:rsidP="00663D17">
      <w:pPr>
        <w:numPr>
          <w:ilvl w:val="0"/>
          <w:numId w:val="2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lastRenderedPageBreak/>
        <w:t xml:space="preserve">One of the leading questions was whether the decision of the Environmental Authority could be reviewed on the basis that it was inconsistent with tikanga Māori. </w:t>
      </w:r>
    </w:p>
    <w:p w14:paraId="2EF29D39"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3803A335" w14:textId="3376E3C3" w:rsidR="007810B4" w:rsidRPr="000C081F" w:rsidRDefault="007810B4" w:rsidP="00663D17">
      <w:pPr>
        <w:numPr>
          <w:ilvl w:val="0"/>
          <w:numId w:val="22"/>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 Court h</w:t>
      </w:r>
      <w:r w:rsidRPr="000C081F">
        <w:rPr>
          <w:rFonts w:asciiTheme="minorHAnsi" w:eastAsia="Calibri" w:hAnsiTheme="minorHAnsi" w:cs="Calibri"/>
          <w:color w:val="000000"/>
        </w:rPr>
        <w:t xml:space="preserve">eld that the inclusion of the principles of the Treaty of Waitangi in the legislation required </w:t>
      </w:r>
      <w:r w:rsidR="006D5770" w:rsidRPr="000C081F">
        <w:rPr>
          <w:rFonts w:asciiTheme="minorHAnsi" w:eastAsia="Calibri" w:hAnsiTheme="minorHAnsi" w:cs="Calibri"/>
          <w:color w:val="000000"/>
        </w:rPr>
        <w:t>considering</w:t>
      </w:r>
      <w:r w:rsidRPr="000C081F">
        <w:rPr>
          <w:rFonts w:asciiTheme="minorHAnsi" w:eastAsia="Calibri" w:hAnsiTheme="minorHAnsi" w:cs="Calibri"/>
          <w:color w:val="000000"/>
        </w:rPr>
        <w:t xml:space="preserve"> tikanga-based customary rights and interests, including </w:t>
      </w:r>
      <w:proofErr w:type="spellStart"/>
      <w:r w:rsidRPr="000C081F">
        <w:rPr>
          <w:rFonts w:asciiTheme="minorHAnsi" w:eastAsia="Calibri" w:hAnsiTheme="minorHAnsi" w:cs="Calibri"/>
          <w:color w:val="000000"/>
        </w:rPr>
        <w:t>kaitiakitanga</w:t>
      </w:r>
      <w:proofErr w:type="spellEnd"/>
      <w:r w:rsidRPr="000C081F">
        <w:rPr>
          <w:rFonts w:asciiTheme="minorHAnsi" w:eastAsia="Calibri" w:hAnsiTheme="minorHAnsi" w:cs="Calibri"/>
          <w:color w:val="000000"/>
        </w:rPr>
        <w:t xml:space="preserve">, as well as the reference in a section of the legislation to “other applicable law” (based on </w:t>
      </w:r>
      <w:proofErr w:type="spellStart"/>
      <w:r w:rsidRPr="000C081F">
        <w:rPr>
          <w:rFonts w:asciiTheme="minorHAnsi" w:eastAsia="Calibri" w:hAnsiTheme="minorHAnsi" w:cs="Calibri"/>
          <w:i/>
          <w:iCs/>
          <w:color w:val="000000"/>
        </w:rPr>
        <w:t>Takamore</w:t>
      </w:r>
      <w:proofErr w:type="spellEnd"/>
      <w:r w:rsidRPr="000C081F">
        <w:rPr>
          <w:rFonts w:asciiTheme="minorHAnsi" w:eastAsia="Calibri" w:hAnsiTheme="minorHAnsi" w:cs="Calibri"/>
          <w:i/>
          <w:iCs/>
        </w:rPr>
        <w:t xml:space="preserve"> v Clarke</w:t>
      </w:r>
      <w:r w:rsidRPr="000C081F">
        <w:rPr>
          <w:rFonts w:asciiTheme="minorHAnsi" w:eastAsia="Calibri" w:hAnsiTheme="minorHAnsi" w:cs="Calibri"/>
          <w:color w:val="000000"/>
        </w:rPr>
        <w:t>).</w:t>
      </w:r>
    </w:p>
    <w:p w14:paraId="7E98EE9C" w14:textId="39CB3EA2" w:rsidR="007810B4" w:rsidRPr="000C081F" w:rsidRDefault="007810B4" w:rsidP="00663D17">
      <w:pPr>
        <w:spacing w:line="360" w:lineRule="auto"/>
        <w:rPr>
          <w:rFonts w:asciiTheme="minorHAnsi" w:eastAsia="Calibri" w:hAnsiTheme="minorHAnsi" w:cs="Calibri"/>
          <w:color w:val="000000"/>
        </w:rPr>
      </w:pPr>
    </w:p>
    <w:p w14:paraId="17D2D4FF" w14:textId="33B57004" w:rsidR="006D5770" w:rsidRPr="000C081F" w:rsidRDefault="006D5770"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So, tikanga was </w:t>
      </w:r>
      <w:r w:rsidR="00BE2C8D" w:rsidRPr="000C081F">
        <w:rPr>
          <w:rFonts w:asciiTheme="minorHAnsi" w:eastAsia="Calibri" w:hAnsiTheme="minorHAnsi" w:cs="Calibri"/>
          <w:color w:val="000000"/>
        </w:rPr>
        <w:t xml:space="preserve">here again </w:t>
      </w:r>
      <w:r w:rsidRPr="000C081F">
        <w:rPr>
          <w:rFonts w:asciiTheme="minorHAnsi" w:eastAsia="Calibri" w:hAnsiTheme="minorHAnsi" w:cs="Calibri"/>
          <w:color w:val="000000"/>
        </w:rPr>
        <w:t>recognised as a separate legal system applicable as part of the common law in Aotearoa New Zealand.</w:t>
      </w:r>
    </w:p>
    <w:p w14:paraId="4A459A7E" w14:textId="77777777" w:rsidR="002B731B" w:rsidRPr="000C081F" w:rsidRDefault="002B731B" w:rsidP="00663D17">
      <w:pPr>
        <w:spacing w:line="360" w:lineRule="auto"/>
        <w:rPr>
          <w:rFonts w:asciiTheme="minorHAnsi" w:eastAsia="Calibri" w:hAnsiTheme="minorHAnsi" w:cs="Calibri"/>
          <w:color w:val="000000"/>
        </w:rPr>
      </w:pPr>
    </w:p>
    <w:p w14:paraId="3AE75E25" w14:textId="50A6F559" w:rsidR="007810B4" w:rsidRPr="000C081F" w:rsidRDefault="002B731B" w:rsidP="00663D17">
      <w:pPr>
        <w:pStyle w:val="Heading2"/>
      </w:pPr>
      <w:r w:rsidRPr="000C081F">
        <w:t xml:space="preserve">F </w:t>
      </w:r>
      <w:r w:rsidR="007810B4" w:rsidRPr="000C081F">
        <w:t xml:space="preserve">Tikanga in Criminal Law </w:t>
      </w:r>
      <w:r w:rsidR="00860599" w:rsidRPr="000C081F">
        <w:t>–</w:t>
      </w:r>
      <w:r w:rsidR="007810B4" w:rsidRPr="000C081F">
        <w:t xml:space="preserve"> Ellis</w:t>
      </w:r>
    </w:p>
    <w:p w14:paraId="568C943A" w14:textId="77777777" w:rsidR="00860599" w:rsidRPr="000C081F" w:rsidRDefault="00860599" w:rsidP="00860599"/>
    <w:p w14:paraId="6B00918C" w14:textId="5791C329" w:rsidR="007810B4" w:rsidRPr="000C081F" w:rsidRDefault="007810B4" w:rsidP="00663D17">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The </w:t>
      </w:r>
      <w:r w:rsidRPr="000C081F">
        <w:rPr>
          <w:rFonts w:asciiTheme="minorHAnsi" w:eastAsia="Calibri" w:hAnsiTheme="minorHAnsi" w:cs="Calibri"/>
          <w:i/>
          <w:iCs/>
          <w:color w:val="000000"/>
        </w:rPr>
        <w:t>Ellis</w:t>
      </w:r>
      <w:r w:rsidRPr="000C081F">
        <w:rPr>
          <w:rFonts w:asciiTheme="minorHAnsi" w:eastAsia="Calibri" w:hAnsiTheme="minorHAnsi" w:cs="Calibri"/>
          <w:color w:val="000000"/>
        </w:rPr>
        <w:t xml:space="preserve"> case concerned a Pākehā man who was convicted of sex offending and then died before his case on appeal was heard. The issue was whether an appeal could continue in the event of the appellant’s death and whether the appeal would be in the interests of justice</w:t>
      </w:r>
      <w:r w:rsidRPr="000C081F">
        <w:rPr>
          <w:rFonts w:asciiTheme="minorHAnsi" w:eastAsia="Calibri" w:hAnsiTheme="minorHAnsi" w:cs="Calibri"/>
        </w:rPr>
        <w:t>.</w:t>
      </w:r>
      <w:r w:rsidR="006D5770" w:rsidRPr="000C081F">
        <w:rPr>
          <w:rStyle w:val="FootnoteReference"/>
          <w:rFonts w:asciiTheme="minorHAnsi" w:eastAsia="Calibri" w:hAnsiTheme="minorHAnsi" w:cs="Calibri"/>
        </w:rPr>
        <w:footnoteReference w:id="31"/>
      </w:r>
      <w:r w:rsidR="006D5770"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Under tikanga Māori, the mana</w:t>
      </w:r>
      <w:r w:rsidRPr="000C081F">
        <w:rPr>
          <w:rFonts w:asciiTheme="minorHAnsi" w:eastAsia="Calibri" w:hAnsiTheme="minorHAnsi" w:cs="Calibri"/>
        </w:rPr>
        <w:t xml:space="preserve"> or </w:t>
      </w:r>
      <w:r w:rsidRPr="000C081F">
        <w:rPr>
          <w:rFonts w:asciiTheme="minorHAnsi" w:eastAsia="Calibri" w:hAnsiTheme="minorHAnsi" w:cs="Calibri"/>
          <w:color w:val="000000"/>
        </w:rPr>
        <w:t>standing of a person continues</w:t>
      </w:r>
      <w:r w:rsidR="00917C31" w:rsidRPr="000C081F">
        <w:rPr>
          <w:rFonts w:asciiTheme="minorHAnsi" w:eastAsia="Calibri" w:hAnsiTheme="minorHAnsi" w:cs="Calibri"/>
          <w:color w:val="000000"/>
        </w:rPr>
        <w:t xml:space="preserve"> when they die – only </w:t>
      </w:r>
      <w:proofErr w:type="spellStart"/>
      <w:r w:rsidR="00917C31" w:rsidRPr="000C081F">
        <w:rPr>
          <w:rFonts w:asciiTheme="minorHAnsi" w:eastAsia="Calibri" w:hAnsiTheme="minorHAnsi" w:cs="Calibri"/>
          <w:color w:val="000000"/>
        </w:rPr>
        <w:t>phsysically</w:t>
      </w:r>
      <w:proofErr w:type="spellEnd"/>
      <w:r w:rsidR="00917C31"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 xml:space="preserve"> and they are considered to live on.</w:t>
      </w:r>
      <w:r w:rsidRPr="000C081F">
        <w:rPr>
          <w:rFonts w:asciiTheme="minorHAnsi" w:eastAsia="Calibri" w:hAnsiTheme="minorHAnsi" w:cs="Calibri"/>
        </w:rPr>
        <w:t xml:space="preserve"> </w:t>
      </w:r>
      <w:r w:rsidRPr="000C081F">
        <w:rPr>
          <w:rFonts w:asciiTheme="minorHAnsi" w:eastAsia="Calibri" w:hAnsiTheme="minorHAnsi" w:cs="Calibri"/>
          <w:color w:val="000000"/>
        </w:rPr>
        <w:t xml:space="preserve">The </w:t>
      </w:r>
      <w:r w:rsidR="00917C31" w:rsidRPr="000C081F">
        <w:rPr>
          <w:rFonts w:asciiTheme="minorHAnsi" w:eastAsia="Calibri" w:hAnsiTheme="minorHAnsi" w:cs="Calibri"/>
          <w:color w:val="000000"/>
        </w:rPr>
        <w:t>C</w:t>
      </w:r>
      <w:r w:rsidRPr="000C081F">
        <w:rPr>
          <w:rFonts w:asciiTheme="minorHAnsi" w:eastAsia="Calibri" w:hAnsiTheme="minorHAnsi" w:cs="Calibri"/>
          <w:color w:val="000000"/>
        </w:rPr>
        <w:t xml:space="preserve">ourt considered whether tikanga could be </w:t>
      </w:r>
      <w:r w:rsidR="008B6CD6" w:rsidRPr="000C081F">
        <w:rPr>
          <w:rFonts w:asciiTheme="minorHAnsi" w:eastAsia="Calibri" w:hAnsiTheme="minorHAnsi" w:cs="Calibri"/>
          <w:color w:val="000000"/>
        </w:rPr>
        <w:t>considered</w:t>
      </w:r>
      <w:r w:rsidRPr="000C081F">
        <w:rPr>
          <w:rFonts w:asciiTheme="minorHAnsi" w:eastAsia="Calibri" w:hAnsiTheme="minorHAnsi" w:cs="Calibri"/>
          <w:color w:val="000000"/>
        </w:rPr>
        <w:t xml:space="preserve"> when determining whether the appeal should be allowed to </w:t>
      </w:r>
      <w:r w:rsidR="008B6CD6" w:rsidRPr="000C081F">
        <w:rPr>
          <w:rFonts w:asciiTheme="minorHAnsi" w:eastAsia="Calibri" w:hAnsiTheme="minorHAnsi" w:cs="Calibri"/>
          <w:color w:val="000000"/>
        </w:rPr>
        <w:t>continue</w:t>
      </w:r>
      <w:r w:rsidRPr="000C081F">
        <w:rPr>
          <w:rFonts w:asciiTheme="minorHAnsi" w:eastAsia="Calibri" w:hAnsiTheme="minorHAnsi" w:cs="Calibri"/>
          <w:color w:val="000000"/>
        </w:rPr>
        <w:t>.</w:t>
      </w:r>
    </w:p>
    <w:p w14:paraId="0FDC946F" w14:textId="77777777" w:rsidR="007810B4" w:rsidRPr="000C081F" w:rsidRDefault="007810B4" w:rsidP="00663D17">
      <w:pPr>
        <w:spacing w:line="360" w:lineRule="auto"/>
        <w:rPr>
          <w:rFonts w:asciiTheme="minorHAnsi" w:eastAsia="Calibri" w:hAnsiTheme="minorHAnsi" w:cs="Calibri"/>
          <w:color w:val="000000"/>
        </w:rPr>
      </w:pPr>
    </w:p>
    <w:p w14:paraId="1C372172" w14:textId="77777777" w:rsidR="007810B4" w:rsidRPr="000C081F" w:rsidRDefault="007810B4" w:rsidP="00663D17">
      <w:pPr>
        <w:spacing w:line="360" w:lineRule="auto"/>
        <w:rPr>
          <w:rFonts w:asciiTheme="minorHAnsi" w:eastAsia="Calibri" w:hAnsiTheme="minorHAnsi" w:cs="Calibri"/>
          <w:color w:val="000000"/>
        </w:rPr>
      </w:pPr>
      <w:r w:rsidRPr="000C081F">
        <w:rPr>
          <w:rFonts w:asciiTheme="minorHAnsi" w:eastAsia="Calibri" w:hAnsiTheme="minorHAnsi" w:cs="Calibri"/>
        </w:rPr>
        <w:t>The m</w:t>
      </w:r>
      <w:r w:rsidRPr="000C081F">
        <w:rPr>
          <w:rFonts w:asciiTheme="minorHAnsi" w:eastAsia="Calibri" w:hAnsiTheme="minorHAnsi" w:cs="Calibri"/>
          <w:color w:val="000000"/>
        </w:rPr>
        <w:t>ajority found that:</w:t>
      </w:r>
    </w:p>
    <w:p w14:paraId="22738DB3" w14:textId="77777777" w:rsidR="00917C31" w:rsidRPr="000C081F" w:rsidRDefault="00917C31" w:rsidP="00663D17">
      <w:pPr>
        <w:spacing w:line="360" w:lineRule="auto"/>
        <w:rPr>
          <w:rFonts w:asciiTheme="minorHAnsi" w:eastAsia="Calibri" w:hAnsiTheme="minorHAnsi" w:cs="Calibri"/>
          <w:color w:val="000000"/>
        </w:rPr>
      </w:pPr>
    </w:p>
    <w:p w14:paraId="5C2558AD" w14:textId="4BA97768" w:rsidR="007810B4" w:rsidRPr="000C081F" w:rsidRDefault="007810B4" w:rsidP="00663D17">
      <w:pPr>
        <w:numPr>
          <w:ilvl w:val="0"/>
          <w:numId w:val="1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Tikanga should not be required to be consistent with common law</w:t>
      </w:r>
      <w:r w:rsidR="008B6CD6" w:rsidRPr="000C081F">
        <w:rPr>
          <w:rFonts w:asciiTheme="minorHAnsi" w:eastAsia="Calibri" w:hAnsiTheme="minorHAnsi" w:cs="Calibri"/>
          <w:color w:val="000000"/>
        </w:rPr>
        <w:t xml:space="preserve"> nor</w:t>
      </w:r>
      <w:r w:rsidRPr="000C081F">
        <w:rPr>
          <w:rFonts w:asciiTheme="minorHAnsi" w:eastAsia="Calibri" w:hAnsiTheme="minorHAnsi" w:cs="Calibri"/>
          <w:color w:val="000000"/>
        </w:rPr>
        <w:t xml:space="preserve"> reasonableness </w:t>
      </w:r>
      <w:r w:rsidRPr="000C081F">
        <w:rPr>
          <w:rFonts w:asciiTheme="minorHAnsi" w:eastAsia="Calibri" w:hAnsiTheme="minorHAnsi" w:cs="Calibri"/>
        </w:rPr>
        <w:t>requirements</w:t>
      </w:r>
      <w:r w:rsidRPr="000C081F">
        <w:rPr>
          <w:rFonts w:asciiTheme="minorHAnsi" w:eastAsia="Calibri" w:hAnsiTheme="minorHAnsi" w:cs="Calibri"/>
          <w:color w:val="000000"/>
        </w:rPr>
        <w:t xml:space="preserve"> before it</w:t>
      </w:r>
      <w:r w:rsidR="008B6CD6" w:rsidRPr="000C081F">
        <w:rPr>
          <w:rFonts w:asciiTheme="minorHAnsi" w:eastAsia="Calibri" w:hAnsiTheme="minorHAnsi" w:cs="Calibri"/>
          <w:color w:val="000000"/>
        </w:rPr>
        <w:t>s</w:t>
      </w:r>
      <w:r w:rsidRPr="000C081F">
        <w:rPr>
          <w:rFonts w:asciiTheme="minorHAnsi" w:eastAsia="Calibri" w:hAnsiTheme="minorHAnsi" w:cs="Calibri"/>
          <w:color w:val="000000"/>
        </w:rPr>
        <w:t xml:space="preserve"> appli</w:t>
      </w:r>
      <w:r w:rsidR="008B6CD6" w:rsidRPr="000C081F">
        <w:rPr>
          <w:rFonts w:asciiTheme="minorHAnsi" w:eastAsia="Calibri" w:hAnsiTheme="minorHAnsi" w:cs="Calibri"/>
          <w:color w:val="000000"/>
        </w:rPr>
        <w:t>cation,</w:t>
      </w:r>
      <w:r w:rsidRPr="000C081F">
        <w:rPr>
          <w:rFonts w:asciiTheme="minorHAnsi" w:eastAsia="Calibri" w:hAnsiTheme="minorHAnsi" w:cs="Calibri"/>
          <w:color w:val="000000"/>
        </w:rPr>
        <w:t xml:space="preserve"> </w:t>
      </w:r>
      <w:r w:rsidRPr="000C081F">
        <w:rPr>
          <w:rFonts w:asciiTheme="minorHAnsi" w:eastAsia="Calibri" w:hAnsiTheme="minorHAnsi" w:cs="Calibri"/>
        </w:rPr>
        <w:t>because t</w:t>
      </w:r>
      <w:r w:rsidR="008B6CD6" w:rsidRPr="000C081F">
        <w:rPr>
          <w:rFonts w:asciiTheme="minorHAnsi" w:eastAsia="Calibri" w:hAnsiTheme="minorHAnsi" w:cs="Calibri"/>
        </w:rPr>
        <w:t>his</w:t>
      </w:r>
      <w:r w:rsidRPr="000C081F">
        <w:rPr>
          <w:rFonts w:asciiTheme="minorHAnsi" w:eastAsia="Calibri" w:hAnsiTheme="minorHAnsi" w:cs="Calibri"/>
        </w:rPr>
        <w:t xml:space="preserve"> would</w:t>
      </w:r>
      <w:r w:rsidRPr="000C081F">
        <w:rPr>
          <w:rFonts w:asciiTheme="minorHAnsi" w:eastAsia="Calibri" w:hAnsiTheme="minorHAnsi" w:cs="Calibri"/>
          <w:color w:val="000000"/>
        </w:rPr>
        <w:t xml:space="preserve"> imply the domination of tikanga Māori by state law and </w:t>
      </w:r>
      <w:r w:rsidR="008B6CD6" w:rsidRPr="000C081F">
        <w:rPr>
          <w:rFonts w:asciiTheme="minorHAnsi" w:eastAsia="Calibri" w:hAnsiTheme="minorHAnsi" w:cs="Calibri"/>
          <w:color w:val="000000"/>
        </w:rPr>
        <w:t xml:space="preserve">the </w:t>
      </w:r>
      <w:r w:rsidRPr="000C081F">
        <w:rPr>
          <w:rFonts w:asciiTheme="minorHAnsi" w:eastAsia="Calibri" w:hAnsiTheme="minorHAnsi" w:cs="Calibri"/>
          <w:color w:val="000000"/>
        </w:rPr>
        <w:t>supremacy of Western values.</w:t>
      </w:r>
    </w:p>
    <w:p w14:paraId="003C06D7"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1FC7D94A" w14:textId="0D0CDCC7" w:rsidR="007810B4" w:rsidRPr="000C081F" w:rsidRDefault="007810B4" w:rsidP="00663D17">
      <w:pPr>
        <w:numPr>
          <w:ilvl w:val="0"/>
          <w:numId w:val="1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Tikanga Māori is a free-standing legal system and continues to regulate lives in </w:t>
      </w:r>
      <w:r w:rsidR="008B6CD6" w:rsidRPr="000C081F">
        <w:rPr>
          <w:rFonts w:asciiTheme="minorHAnsi" w:eastAsia="Calibri" w:hAnsiTheme="minorHAnsi" w:cs="Calibri"/>
          <w:color w:val="000000"/>
        </w:rPr>
        <w:t xml:space="preserve">Aotearoa </w:t>
      </w:r>
      <w:r w:rsidRPr="000C081F">
        <w:rPr>
          <w:rFonts w:asciiTheme="minorHAnsi" w:eastAsia="Calibri" w:hAnsiTheme="minorHAnsi" w:cs="Calibri"/>
          <w:color w:val="000000"/>
        </w:rPr>
        <w:t>N</w:t>
      </w:r>
      <w:r w:rsidR="008B6CD6" w:rsidRPr="000C081F">
        <w:rPr>
          <w:rFonts w:asciiTheme="minorHAnsi" w:eastAsia="Calibri" w:hAnsiTheme="minorHAnsi" w:cs="Calibri"/>
          <w:color w:val="000000"/>
        </w:rPr>
        <w:t xml:space="preserve">ew </w:t>
      </w:r>
      <w:r w:rsidRPr="000C081F">
        <w:rPr>
          <w:rFonts w:asciiTheme="minorHAnsi" w:eastAsia="Calibri" w:hAnsiTheme="minorHAnsi" w:cs="Calibri"/>
          <w:color w:val="000000"/>
        </w:rPr>
        <w:t>Z</w:t>
      </w:r>
      <w:r w:rsidR="008B6CD6" w:rsidRPr="000C081F">
        <w:rPr>
          <w:rFonts w:asciiTheme="minorHAnsi" w:eastAsia="Calibri" w:hAnsiTheme="minorHAnsi" w:cs="Calibri"/>
          <w:color w:val="000000"/>
        </w:rPr>
        <w:t>ealand</w:t>
      </w:r>
      <w:r w:rsidRPr="000C081F">
        <w:rPr>
          <w:rFonts w:asciiTheme="minorHAnsi" w:eastAsia="Calibri" w:hAnsiTheme="minorHAnsi" w:cs="Calibri"/>
          <w:color w:val="000000"/>
        </w:rPr>
        <w:t>.</w:t>
      </w:r>
    </w:p>
    <w:p w14:paraId="36630C74"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5D5B4006" w14:textId="525AD483" w:rsidR="006D5770" w:rsidRPr="000C081F" w:rsidRDefault="006D5770" w:rsidP="00663D17">
      <w:pPr>
        <w:numPr>
          <w:ilvl w:val="0"/>
          <w:numId w:val="1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lastRenderedPageBreak/>
        <w:t xml:space="preserve">The appeal could proceed with </w:t>
      </w:r>
      <w:r w:rsidR="00917C31" w:rsidRPr="000C081F">
        <w:rPr>
          <w:rFonts w:asciiTheme="minorHAnsi" w:eastAsia="Calibri" w:hAnsiTheme="minorHAnsi" w:cs="Calibri"/>
          <w:color w:val="000000"/>
        </w:rPr>
        <w:t xml:space="preserve">tikanga as </w:t>
      </w:r>
      <w:r w:rsidRPr="000C081F">
        <w:rPr>
          <w:rFonts w:asciiTheme="minorHAnsi" w:eastAsia="Calibri" w:hAnsiTheme="minorHAnsi" w:cs="Calibri"/>
          <w:color w:val="000000"/>
        </w:rPr>
        <w:t>one of the factors relevant in the decision.</w:t>
      </w:r>
    </w:p>
    <w:p w14:paraId="50E7A9B3" w14:textId="77777777" w:rsidR="007810B4" w:rsidRPr="000C081F" w:rsidRDefault="007810B4" w:rsidP="00663D17">
      <w:pPr>
        <w:spacing w:line="360" w:lineRule="auto"/>
        <w:rPr>
          <w:rFonts w:asciiTheme="minorHAnsi" w:eastAsia="Calibri" w:hAnsiTheme="minorHAnsi" w:cs="Calibri"/>
          <w:color w:val="000000"/>
        </w:rPr>
      </w:pPr>
    </w:p>
    <w:p w14:paraId="62660C3F" w14:textId="3EFDC07C" w:rsidR="007810B4" w:rsidRPr="000C081F" w:rsidRDefault="007810B4" w:rsidP="00663D17">
      <w:pPr>
        <w:spacing w:line="360" w:lineRule="auto"/>
        <w:rPr>
          <w:rFonts w:asciiTheme="minorHAnsi" w:eastAsia="Calibri" w:hAnsiTheme="minorHAnsi" w:cs="Calibri"/>
          <w:color w:val="000000"/>
        </w:rPr>
      </w:pPr>
      <w:bookmarkStart w:id="2" w:name="_heading=h.gjdgxs" w:colFirst="0" w:colLast="0"/>
      <w:bookmarkEnd w:id="2"/>
      <w:r w:rsidRPr="000C081F">
        <w:rPr>
          <w:rFonts w:asciiTheme="minorHAnsi" w:eastAsia="Calibri" w:hAnsiTheme="minorHAnsi" w:cs="Calibri"/>
          <w:color w:val="000000"/>
        </w:rPr>
        <w:t xml:space="preserve">As Williams J noted, </w:t>
      </w:r>
      <w:r w:rsidR="008B6CD6" w:rsidRPr="000C081F">
        <w:rPr>
          <w:rFonts w:asciiTheme="minorHAnsi" w:eastAsia="Calibri" w:hAnsiTheme="minorHAnsi" w:cs="Calibri"/>
          <w:color w:val="000000"/>
        </w:rPr>
        <w:t>i</w:t>
      </w:r>
      <w:r w:rsidRPr="000C081F">
        <w:rPr>
          <w:rFonts w:asciiTheme="minorHAnsi" w:eastAsia="Calibri" w:hAnsiTheme="minorHAnsi" w:cs="Calibri"/>
          <w:color w:val="000000"/>
        </w:rPr>
        <w:t xml:space="preserve">n </w:t>
      </w:r>
      <w:r w:rsidR="006D5770" w:rsidRPr="000C081F">
        <w:rPr>
          <w:rFonts w:asciiTheme="minorHAnsi" w:eastAsia="Calibri" w:hAnsiTheme="minorHAnsi" w:cs="Calibri"/>
          <w:color w:val="000000"/>
        </w:rPr>
        <w:t xml:space="preserve">Aotearoa </w:t>
      </w:r>
      <w:r w:rsidRPr="000C081F">
        <w:rPr>
          <w:rFonts w:asciiTheme="minorHAnsi" w:eastAsia="Calibri" w:hAnsiTheme="minorHAnsi" w:cs="Calibri"/>
          <w:color w:val="000000"/>
        </w:rPr>
        <w:t>New Zealand's system</w:t>
      </w:r>
      <w:r w:rsidR="008B6CD6"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where tikanga has force and integrity with or without the common </w:t>
      </w:r>
      <w:proofErr w:type="gramStart"/>
      <w:r w:rsidRPr="000C081F">
        <w:rPr>
          <w:rFonts w:asciiTheme="minorHAnsi" w:eastAsia="Calibri" w:hAnsiTheme="minorHAnsi" w:cs="Calibri"/>
          <w:color w:val="000000"/>
        </w:rPr>
        <w:t xml:space="preserve">law,  </w:t>
      </w:r>
      <w:r w:rsidR="00267BFF" w:rsidRPr="000C081F">
        <w:rPr>
          <w:rFonts w:asciiTheme="minorHAnsi" w:eastAsia="Calibri" w:hAnsiTheme="minorHAnsi" w:cs="Calibri"/>
          <w:color w:val="000000"/>
        </w:rPr>
        <w:t>“</w:t>
      </w:r>
      <w:proofErr w:type="gramEnd"/>
      <w:r w:rsidRPr="000C081F">
        <w:rPr>
          <w:rFonts w:asciiTheme="minorHAnsi" w:eastAsia="Calibri" w:hAnsiTheme="minorHAnsi" w:cs="Calibri"/>
          <w:color w:val="000000"/>
        </w:rPr>
        <w:t>judges must be comfortable engaging with tikanga principles yet understand that they cannot change tikanga. And while they may apply tikanga in appropriate cases they must also understand that they cannot authoritatively declare it for general purposes</w:t>
      </w:r>
      <w:r w:rsidR="00267BFF" w:rsidRPr="000C081F">
        <w:rPr>
          <w:rFonts w:asciiTheme="minorHAnsi" w:eastAsia="Calibri" w:hAnsiTheme="minorHAnsi" w:cs="Calibri"/>
          <w:color w:val="000000"/>
        </w:rPr>
        <w:t>”</w:t>
      </w:r>
      <w:r w:rsidR="008B6CD6" w:rsidRPr="000C081F">
        <w:rPr>
          <w:rFonts w:asciiTheme="minorHAnsi" w:eastAsia="Calibri" w:hAnsiTheme="minorHAnsi" w:cs="Calibri"/>
          <w:color w:val="000000"/>
        </w:rPr>
        <w:t xml:space="preserve"> as they may declare the common law.</w:t>
      </w:r>
      <w:r w:rsidR="006D5770" w:rsidRPr="000C081F">
        <w:rPr>
          <w:rStyle w:val="FootnoteReference"/>
          <w:rFonts w:asciiTheme="minorHAnsi" w:eastAsia="Calibri" w:hAnsiTheme="minorHAnsi" w:cs="Calibri"/>
          <w:color w:val="000000"/>
        </w:rPr>
        <w:footnoteReference w:id="32"/>
      </w:r>
    </w:p>
    <w:p w14:paraId="2ABF85BB" w14:textId="77777777" w:rsidR="007810B4" w:rsidRPr="000C081F" w:rsidRDefault="007810B4" w:rsidP="00663D17">
      <w:pPr>
        <w:spacing w:line="360" w:lineRule="auto"/>
        <w:rPr>
          <w:rFonts w:asciiTheme="minorHAnsi" w:eastAsia="Calibri" w:hAnsiTheme="minorHAnsi" w:cs="Calibri"/>
          <w:color w:val="000000"/>
        </w:rPr>
      </w:pPr>
    </w:p>
    <w:p w14:paraId="080566E6" w14:textId="27FFDCB3" w:rsidR="006D5770" w:rsidRPr="000C081F" w:rsidRDefault="006D5770" w:rsidP="00917C31">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There are some particularly </w:t>
      </w:r>
      <w:r w:rsidR="00917C31" w:rsidRPr="000C081F">
        <w:rPr>
          <w:rFonts w:asciiTheme="minorHAnsi" w:eastAsia="Calibri" w:hAnsiTheme="minorHAnsi" w:cs="Calibri"/>
        </w:rPr>
        <w:t>important</w:t>
      </w:r>
      <w:r w:rsidRPr="000C081F">
        <w:rPr>
          <w:rFonts w:asciiTheme="minorHAnsi" w:eastAsia="Calibri" w:hAnsiTheme="minorHAnsi" w:cs="Calibri"/>
        </w:rPr>
        <w:t xml:space="preserve"> observations to </w:t>
      </w:r>
      <w:r w:rsidR="00917C31" w:rsidRPr="000C081F">
        <w:rPr>
          <w:rFonts w:asciiTheme="minorHAnsi" w:eastAsia="Calibri" w:hAnsiTheme="minorHAnsi" w:cs="Calibri"/>
        </w:rPr>
        <w:t>make with respect to</w:t>
      </w:r>
      <w:r w:rsidRPr="000C081F">
        <w:rPr>
          <w:rFonts w:asciiTheme="minorHAnsi" w:eastAsia="Calibri" w:hAnsiTheme="minorHAnsi" w:cs="Calibri"/>
        </w:rPr>
        <w:t xml:space="preserve"> this case:</w:t>
      </w:r>
    </w:p>
    <w:p w14:paraId="48988513" w14:textId="77777777" w:rsidR="00917C31" w:rsidRPr="000C081F" w:rsidRDefault="00917C31" w:rsidP="00917C31">
      <w:pPr>
        <w:pBdr>
          <w:top w:val="nil"/>
          <w:left w:val="nil"/>
          <w:bottom w:val="nil"/>
          <w:right w:val="nil"/>
          <w:between w:val="nil"/>
        </w:pBdr>
        <w:spacing w:line="360" w:lineRule="auto"/>
        <w:ind w:left="360"/>
        <w:rPr>
          <w:rFonts w:asciiTheme="minorHAnsi" w:eastAsia="Calibri" w:hAnsiTheme="minorHAnsi" w:cs="Calibri"/>
          <w:color w:val="000000"/>
        </w:rPr>
      </w:pPr>
    </w:p>
    <w:p w14:paraId="37E7ED8C" w14:textId="47C505AE" w:rsidR="007810B4" w:rsidRPr="000C081F" w:rsidRDefault="006D5770" w:rsidP="00663D17">
      <w:pPr>
        <w:numPr>
          <w:ilvl w:val="0"/>
          <w:numId w:val="1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Again, tikanga Māori is recognised as a source of law under the common law.</w:t>
      </w:r>
    </w:p>
    <w:p w14:paraId="61524CE8"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6B3B7D62" w14:textId="197360A1" w:rsidR="007810B4" w:rsidRPr="000C081F" w:rsidRDefault="007810B4" w:rsidP="00663D17">
      <w:pPr>
        <w:numPr>
          <w:ilvl w:val="0"/>
          <w:numId w:val="1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Tikanga </w:t>
      </w:r>
      <w:r w:rsidR="006D5770" w:rsidRPr="000C081F">
        <w:rPr>
          <w:rFonts w:asciiTheme="minorHAnsi" w:eastAsia="Calibri" w:hAnsiTheme="minorHAnsi" w:cs="Calibri"/>
        </w:rPr>
        <w:t>Māori can influence judicial decisions applicable to non-Māori.</w:t>
      </w:r>
    </w:p>
    <w:p w14:paraId="1FB37F1A"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3CB06A7C" w14:textId="2521EFEB" w:rsidR="006D5770" w:rsidRPr="000C081F" w:rsidRDefault="006D5770" w:rsidP="00663D17">
      <w:pPr>
        <w:numPr>
          <w:ilvl w:val="0"/>
          <w:numId w:val="1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Tikanga Māori should be determined by experts in tikanga Māori.</w:t>
      </w:r>
    </w:p>
    <w:p w14:paraId="6D3B456E" w14:textId="77777777" w:rsidR="007810B4" w:rsidRPr="000C081F" w:rsidRDefault="007810B4" w:rsidP="00663D17">
      <w:pPr>
        <w:spacing w:line="360" w:lineRule="auto"/>
        <w:rPr>
          <w:rFonts w:asciiTheme="minorHAnsi" w:eastAsia="Calibri" w:hAnsiTheme="minorHAnsi" w:cs="Calibri"/>
          <w:color w:val="000000"/>
        </w:rPr>
      </w:pPr>
    </w:p>
    <w:p w14:paraId="4B9E1353" w14:textId="1DF3C370" w:rsidR="00674B71" w:rsidRPr="000C081F" w:rsidRDefault="002B731B" w:rsidP="00663D17">
      <w:pPr>
        <w:pStyle w:val="Heading2"/>
      </w:pPr>
      <w:r w:rsidRPr="000C081F">
        <w:t xml:space="preserve">G </w:t>
      </w:r>
      <w:r w:rsidR="007810B4" w:rsidRPr="000C081F">
        <w:t xml:space="preserve">Tikanga in </w:t>
      </w:r>
      <w:r w:rsidR="00674B71" w:rsidRPr="000C081F">
        <w:t>p</w:t>
      </w:r>
      <w:r w:rsidR="007810B4" w:rsidRPr="000C081F">
        <w:t xml:space="preserve">ublic </w:t>
      </w:r>
      <w:r w:rsidR="00674B71" w:rsidRPr="000C081F">
        <w:t>l</w:t>
      </w:r>
      <w:r w:rsidR="007810B4" w:rsidRPr="000C081F">
        <w:t xml:space="preserve">aw </w:t>
      </w:r>
    </w:p>
    <w:p w14:paraId="737C1C08" w14:textId="77777777" w:rsidR="00674B71" w:rsidRPr="000C081F" w:rsidRDefault="00674B71" w:rsidP="00663D17">
      <w:pPr>
        <w:spacing w:line="360" w:lineRule="auto"/>
        <w:rPr>
          <w:rFonts w:asciiTheme="minorHAnsi" w:eastAsia="Calibri" w:hAnsiTheme="minorHAnsi" w:cs="Calibri"/>
          <w:i/>
          <w:color w:val="000000"/>
        </w:rPr>
      </w:pPr>
    </w:p>
    <w:p w14:paraId="70B04BCC" w14:textId="2427A573" w:rsidR="007810B4" w:rsidRPr="000C081F" w:rsidRDefault="007552A9" w:rsidP="00663D17">
      <w:pPr>
        <w:spacing w:line="360" w:lineRule="auto"/>
        <w:rPr>
          <w:rFonts w:asciiTheme="minorHAnsi" w:eastAsia="Calibri" w:hAnsiTheme="minorHAnsi" w:cs="Calibri"/>
        </w:rPr>
      </w:pPr>
      <w:r w:rsidRPr="000C081F">
        <w:rPr>
          <w:rFonts w:asciiTheme="minorHAnsi" w:eastAsia="Calibri" w:hAnsiTheme="minorHAnsi" w:cs="Calibri"/>
        </w:rPr>
        <w:t xml:space="preserve">The </w:t>
      </w:r>
      <w:r w:rsidRPr="000C081F">
        <w:rPr>
          <w:rFonts w:asciiTheme="minorHAnsi" w:eastAsia="Calibri" w:hAnsiTheme="minorHAnsi" w:cs="Calibri"/>
          <w:i/>
          <w:iCs/>
        </w:rPr>
        <w:t xml:space="preserve">Ngāti </w:t>
      </w:r>
      <w:proofErr w:type="spellStart"/>
      <w:r w:rsidRPr="000C081F">
        <w:rPr>
          <w:rFonts w:asciiTheme="minorHAnsi" w:eastAsia="Calibri" w:hAnsiTheme="minorHAnsi" w:cs="Calibri"/>
          <w:i/>
          <w:iCs/>
        </w:rPr>
        <w:t>Whātua</w:t>
      </w:r>
      <w:proofErr w:type="spellEnd"/>
      <w:r w:rsidRPr="000C081F">
        <w:rPr>
          <w:rFonts w:asciiTheme="minorHAnsi" w:eastAsia="Calibri" w:hAnsiTheme="minorHAnsi" w:cs="Calibri"/>
        </w:rPr>
        <w:t xml:space="preserve"> </w:t>
      </w:r>
      <w:r w:rsidR="007810B4" w:rsidRPr="000C081F">
        <w:rPr>
          <w:rFonts w:asciiTheme="minorHAnsi" w:eastAsia="Calibri" w:hAnsiTheme="minorHAnsi" w:cs="Calibri"/>
        </w:rPr>
        <w:t>case involve</w:t>
      </w:r>
      <w:r w:rsidR="00674B71" w:rsidRPr="000C081F">
        <w:rPr>
          <w:rFonts w:asciiTheme="minorHAnsi" w:eastAsia="Calibri" w:hAnsiTheme="minorHAnsi" w:cs="Calibri"/>
        </w:rPr>
        <w:t>d</w:t>
      </w:r>
      <w:r w:rsidR="007810B4" w:rsidRPr="000C081F">
        <w:rPr>
          <w:rFonts w:asciiTheme="minorHAnsi" w:eastAsia="Calibri" w:hAnsiTheme="minorHAnsi" w:cs="Calibri"/>
        </w:rPr>
        <w:t xml:space="preserve"> a d</w:t>
      </w:r>
      <w:r w:rsidR="007810B4" w:rsidRPr="000C081F">
        <w:rPr>
          <w:rFonts w:asciiTheme="minorHAnsi" w:eastAsia="Calibri" w:hAnsiTheme="minorHAnsi" w:cs="Calibri"/>
          <w:color w:val="000000"/>
        </w:rPr>
        <w:t xml:space="preserve">ispute between multiple </w:t>
      </w:r>
      <w:proofErr w:type="spellStart"/>
      <w:r w:rsidR="007810B4" w:rsidRPr="000C081F">
        <w:rPr>
          <w:rFonts w:asciiTheme="minorHAnsi" w:eastAsia="Calibri" w:hAnsiTheme="minorHAnsi" w:cs="Calibri"/>
          <w:color w:val="000000"/>
        </w:rPr>
        <w:t>iwi</w:t>
      </w:r>
      <w:r w:rsidR="006D5770" w:rsidRPr="000C081F">
        <w:rPr>
          <w:rFonts w:asciiTheme="minorHAnsi" w:eastAsia="Calibri" w:hAnsiTheme="minorHAnsi" w:cs="Calibri"/>
          <w:color w:val="000000"/>
        </w:rPr>
        <w:t>|tribal</w:t>
      </w:r>
      <w:proofErr w:type="spellEnd"/>
      <w:r w:rsidR="006D5770" w:rsidRPr="000C081F">
        <w:rPr>
          <w:rFonts w:asciiTheme="minorHAnsi" w:eastAsia="Calibri" w:hAnsiTheme="minorHAnsi" w:cs="Calibri"/>
          <w:color w:val="000000"/>
        </w:rPr>
        <w:t xml:space="preserve"> nations</w:t>
      </w:r>
      <w:r w:rsidR="007810B4" w:rsidRPr="000C081F">
        <w:rPr>
          <w:rFonts w:asciiTheme="minorHAnsi" w:eastAsia="Calibri" w:hAnsiTheme="minorHAnsi" w:cs="Calibri"/>
          <w:color w:val="000000"/>
        </w:rPr>
        <w:t xml:space="preserve"> over who </w:t>
      </w:r>
      <w:r w:rsidR="006D5770" w:rsidRPr="000C081F">
        <w:rPr>
          <w:rFonts w:asciiTheme="minorHAnsi" w:eastAsia="Calibri" w:hAnsiTheme="minorHAnsi" w:cs="Calibri"/>
          <w:color w:val="000000"/>
        </w:rPr>
        <w:t>holds traditional</w:t>
      </w:r>
      <w:r w:rsidR="007810B4" w:rsidRPr="000C081F">
        <w:rPr>
          <w:rFonts w:asciiTheme="minorHAnsi" w:eastAsia="Calibri" w:hAnsiTheme="minorHAnsi" w:cs="Calibri"/>
          <w:color w:val="000000"/>
        </w:rPr>
        <w:t xml:space="preserve"> “mana whenua”</w:t>
      </w:r>
      <w:r w:rsidR="007810B4" w:rsidRPr="000C081F">
        <w:rPr>
          <w:rFonts w:asciiTheme="minorHAnsi" w:eastAsia="Calibri" w:hAnsiTheme="minorHAnsi" w:cs="Calibri"/>
        </w:rPr>
        <w:t xml:space="preserve"> or </w:t>
      </w:r>
      <w:r w:rsidR="007810B4" w:rsidRPr="000C081F">
        <w:rPr>
          <w:rFonts w:asciiTheme="minorHAnsi" w:eastAsia="Calibri" w:hAnsiTheme="minorHAnsi" w:cs="Calibri"/>
          <w:color w:val="000000"/>
        </w:rPr>
        <w:t xml:space="preserve">authority over a specific piece of </w:t>
      </w:r>
      <w:r w:rsidR="006D5770" w:rsidRPr="000C081F">
        <w:rPr>
          <w:rFonts w:asciiTheme="minorHAnsi" w:eastAsia="Calibri" w:hAnsiTheme="minorHAnsi" w:cs="Calibri"/>
          <w:color w:val="000000"/>
        </w:rPr>
        <w:t>land “lost”</w:t>
      </w:r>
      <w:r w:rsidR="00674B71" w:rsidRPr="000C081F">
        <w:rPr>
          <w:rFonts w:asciiTheme="minorHAnsi" w:eastAsia="Calibri" w:hAnsiTheme="minorHAnsi" w:cs="Calibri"/>
          <w:color w:val="000000"/>
        </w:rPr>
        <w:t xml:space="preserve"> historically</w:t>
      </w:r>
      <w:r w:rsidR="006D5770" w:rsidRPr="000C081F">
        <w:rPr>
          <w:rFonts w:asciiTheme="minorHAnsi" w:eastAsia="Calibri" w:hAnsiTheme="minorHAnsi" w:cs="Calibri"/>
          <w:color w:val="000000"/>
        </w:rPr>
        <w:t xml:space="preserve"> and now – formally – owned by the Crown.</w:t>
      </w:r>
      <w:r w:rsidRPr="000C081F">
        <w:rPr>
          <w:rStyle w:val="FootnoteReference"/>
          <w:rFonts w:asciiTheme="minorHAnsi" w:eastAsia="Calibri" w:hAnsiTheme="minorHAnsi" w:cs="Calibri"/>
          <w:color w:val="000000"/>
        </w:rPr>
        <w:footnoteReference w:id="33"/>
      </w:r>
      <w:r w:rsidR="006D5770" w:rsidRPr="000C081F">
        <w:rPr>
          <w:rFonts w:asciiTheme="minorHAnsi" w:eastAsia="Calibri" w:hAnsiTheme="minorHAnsi" w:cs="Calibri"/>
          <w:color w:val="000000"/>
        </w:rPr>
        <w:t xml:space="preserve"> </w:t>
      </w:r>
      <w:r w:rsidR="007810B4" w:rsidRPr="000C081F">
        <w:rPr>
          <w:rFonts w:asciiTheme="minorHAnsi" w:eastAsia="Calibri" w:hAnsiTheme="minorHAnsi" w:cs="Calibri"/>
          <w:color w:val="000000"/>
        </w:rPr>
        <w:t>The Crown had tried to return it to one iwi</w:t>
      </w:r>
      <w:r w:rsidR="00FD51D8" w:rsidRPr="000C081F">
        <w:rPr>
          <w:rFonts w:asciiTheme="minorHAnsi" w:eastAsia="Calibri" w:hAnsiTheme="minorHAnsi" w:cs="Calibri"/>
          <w:color w:val="000000"/>
        </w:rPr>
        <w:t xml:space="preserve"> as part of redress for historical wr</w:t>
      </w:r>
      <w:r w:rsidR="00F80250" w:rsidRPr="000C081F">
        <w:rPr>
          <w:rFonts w:asciiTheme="minorHAnsi" w:eastAsia="Calibri" w:hAnsiTheme="minorHAnsi" w:cs="Calibri"/>
          <w:color w:val="000000"/>
        </w:rPr>
        <w:t>o</w:t>
      </w:r>
      <w:r w:rsidR="00FD51D8" w:rsidRPr="000C081F">
        <w:rPr>
          <w:rFonts w:asciiTheme="minorHAnsi" w:eastAsia="Calibri" w:hAnsiTheme="minorHAnsi" w:cs="Calibri"/>
          <w:color w:val="000000"/>
        </w:rPr>
        <w:t>ngs</w:t>
      </w:r>
      <w:r w:rsidR="007810B4" w:rsidRPr="000C081F">
        <w:rPr>
          <w:rFonts w:asciiTheme="minorHAnsi" w:eastAsia="Calibri" w:hAnsiTheme="minorHAnsi" w:cs="Calibri"/>
          <w:color w:val="000000"/>
        </w:rPr>
        <w:t>, and other</w:t>
      </w:r>
      <w:r w:rsidR="00FD51D8" w:rsidRPr="000C081F">
        <w:rPr>
          <w:rFonts w:asciiTheme="minorHAnsi" w:eastAsia="Calibri" w:hAnsiTheme="minorHAnsi" w:cs="Calibri"/>
          <w:color w:val="000000"/>
        </w:rPr>
        <w:t xml:space="preserve"> </w:t>
      </w:r>
      <w:proofErr w:type="spellStart"/>
      <w:r w:rsidR="00FD51D8" w:rsidRPr="000C081F">
        <w:rPr>
          <w:rFonts w:asciiTheme="minorHAnsi" w:eastAsia="Calibri" w:hAnsiTheme="minorHAnsi" w:cs="Calibri"/>
          <w:color w:val="000000"/>
        </w:rPr>
        <w:t>iwi|tribal</w:t>
      </w:r>
      <w:proofErr w:type="spellEnd"/>
      <w:r w:rsidR="00FD51D8" w:rsidRPr="000C081F">
        <w:rPr>
          <w:rFonts w:asciiTheme="minorHAnsi" w:eastAsia="Calibri" w:hAnsiTheme="minorHAnsi" w:cs="Calibri"/>
          <w:color w:val="000000"/>
        </w:rPr>
        <w:t xml:space="preserve"> nations</w:t>
      </w:r>
      <w:r w:rsidR="007810B4" w:rsidRPr="000C081F">
        <w:rPr>
          <w:rFonts w:asciiTheme="minorHAnsi" w:eastAsia="Calibri" w:hAnsiTheme="minorHAnsi" w:cs="Calibri"/>
          <w:color w:val="000000"/>
        </w:rPr>
        <w:t xml:space="preserve"> disputed their </w:t>
      </w:r>
      <w:r w:rsidR="00FD51D8" w:rsidRPr="000C081F">
        <w:rPr>
          <w:rFonts w:asciiTheme="minorHAnsi" w:eastAsia="Calibri" w:hAnsiTheme="minorHAnsi" w:cs="Calibri"/>
          <w:color w:val="000000"/>
        </w:rPr>
        <w:t>right to the land</w:t>
      </w:r>
      <w:r w:rsidR="007810B4" w:rsidRPr="000C081F">
        <w:rPr>
          <w:rFonts w:asciiTheme="minorHAnsi" w:eastAsia="Calibri" w:hAnsiTheme="minorHAnsi" w:cs="Calibri"/>
          <w:color w:val="000000"/>
        </w:rPr>
        <w:t>.</w:t>
      </w:r>
      <w:r w:rsidR="007810B4" w:rsidRPr="000C081F">
        <w:rPr>
          <w:rFonts w:asciiTheme="minorHAnsi" w:eastAsia="Calibri" w:hAnsiTheme="minorHAnsi" w:cs="Calibri"/>
        </w:rPr>
        <w:t xml:space="preserve"> </w:t>
      </w:r>
    </w:p>
    <w:p w14:paraId="727D3AFD" w14:textId="77777777" w:rsidR="007810B4" w:rsidRPr="000C081F" w:rsidRDefault="007810B4" w:rsidP="00663D17">
      <w:pPr>
        <w:spacing w:line="360" w:lineRule="auto"/>
        <w:rPr>
          <w:rFonts w:asciiTheme="minorHAnsi" w:eastAsia="Calibri" w:hAnsiTheme="minorHAnsi" w:cs="Calibri"/>
          <w:color w:val="000000"/>
        </w:rPr>
      </w:pPr>
    </w:p>
    <w:p w14:paraId="494CE14A" w14:textId="7BAC29D1" w:rsidR="007810B4" w:rsidRPr="000C081F" w:rsidRDefault="007810B4" w:rsidP="00663D17">
      <w:pPr>
        <w:spacing w:line="360" w:lineRule="auto"/>
        <w:rPr>
          <w:rFonts w:asciiTheme="minorHAnsi" w:eastAsia="Calibri" w:hAnsiTheme="minorHAnsi" w:cs="Calibri"/>
        </w:rPr>
      </w:pPr>
      <w:r w:rsidRPr="000C081F">
        <w:rPr>
          <w:rFonts w:asciiTheme="minorHAnsi" w:eastAsia="Calibri" w:hAnsiTheme="minorHAnsi" w:cs="Calibri"/>
          <w:color w:val="000000"/>
        </w:rPr>
        <w:t>Justice Palmer held</w:t>
      </w:r>
      <w:r w:rsidRPr="000C081F">
        <w:rPr>
          <w:rFonts w:asciiTheme="minorHAnsi" w:eastAsia="Calibri" w:hAnsiTheme="minorHAnsi" w:cs="Calibri"/>
        </w:rPr>
        <w:t xml:space="preserve"> that u</w:t>
      </w:r>
      <w:r w:rsidRPr="000C081F">
        <w:rPr>
          <w:rFonts w:asciiTheme="minorHAnsi" w:eastAsia="Calibri" w:hAnsiTheme="minorHAnsi" w:cs="Calibri"/>
          <w:color w:val="000000"/>
        </w:rPr>
        <w:t xml:space="preserve">nder each </w:t>
      </w:r>
      <w:r w:rsidR="00FD51D8" w:rsidRPr="000C081F">
        <w:rPr>
          <w:rFonts w:asciiTheme="minorHAnsi" w:eastAsia="Calibri" w:hAnsiTheme="minorHAnsi" w:cs="Calibri"/>
          <w:color w:val="000000"/>
        </w:rPr>
        <w:t>iwi</w:t>
      </w:r>
      <w:r w:rsidR="00F80250" w:rsidRPr="000C081F">
        <w:rPr>
          <w:rFonts w:asciiTheme="minorHAnsi" w:eastAsia="Calibri" w:hAnsiTheme="minorHAnsi" w:cs="Calibri"/>
          <w:color w:val="000000"/>
        </w:rPr>
        <w:t>’s</w:t>
      </w:r>
      <w:r w:rsidRPr="000C081F">
        <w:rPr>
          <w:rFonts w:asciiTheme="minorHAnsi" w:eastAsia="Calibri" w:hAnsiTheme="minorHAnsi" w:cs="Calibri"/>
          <w:color w:val="000000"/>
        </w:rPr>
        <w:t xml:space="preserve"> tikanga</w:t>
      </w:r>
      <w:r w:rsidR="00FD51D8" w:rsidRPr="000C081F">
        <w:rPr>
          <w:rFonts w:asciiTheme="minorHAnsi" w:eastAsia="Calibri" w:hAnsiTheme="minorHAnsi" w:cs="Calibri"/>
          <w:color w:val="000000"/>
        </w:rPr>
        <w:t xml:space="preserve">, </w:t>
      </w:r>
      <w:r w:rsidRPr="000C081F">
        <w:rPr>
          <w:rFonts w:asciiTheme="minorHAnsi" w:eastAsia="Calibri" w:hAnsiTheme="minorHAnsi" w:cs="Calibri"/>
          <w:color w:val="000000"/>
        </w:rPr>
        <w:t>they held the mana whenua over the land.</w:t>
      </w:r>
      <w:r w:rsidR="00FD51D8" w:rsidRPr="000C081F">
        <w:rPr>
          <w:rFonts w:asciiTheme="minorHAnsi" w:eastAsia="Calibri" w:hAnsiTheme="minorHAnsi" w:cs="Calibri"/>
          <w:color w:val="000000"/>
        </w:rPr>
        <w:t xml:space="preserve"> In other words, the relevant tikanga of the different iwi differed. </w:t>
      </w:r>
      <w:r w:rsidR="00917C31" w:rsidRPr="000C081F">
        <w:rPr>
          <w:rFonts w:asciiTheme="minorHAnsi" w:eastAsia="Calibri" w:hAnsiTheme="minorHAnsi" w:cs="Calibri"/>
          <w:color w:val="000000"/>
        </w:rPr>
        <w:t xml:space="preserve">Summarising his </w:t>
      </w:r>
      <w:proofErr w:type="spellStart"/>
      <w:r w:rsidR="00917C31" w:rsidRPr="000C081F">
        <w:rPr>
          <w:rFonts w:asciiTheme="minorHAnsi" w:eastAsia="Calibri" w:hAnsiTheme="minorHAnsi" w:cs="Calibri"/>
          <w:color w:val="000000"/>
        </w:rPr>
        <w:t>toughts</w:t>
      </w:r>
      <w:proofErr w:type="spellEnd"/>
      <w:r w:rsidR="008E1BDF" w:rsidRPr="000C081F">
        <w:rPr>
          <w:rFonts w:asciiTheme="minorHAnsi" w:eastAsia="Calibri" w:hAnsiTheme="minorHAnsi" w:cs="Calibri"/>
          <w:color w:val="000000"/>
        </w:rPr>
        <w:t>:</w:t>
      </w:r>
      <w:r w:rsidR="00FD51D8" w:rsidRPr="000C081F">
        <w:rPr>
          <w:rFonts w:asciiTheme="minorHAnsi" w:eastAsia="Calibri" w:hAnsiTheme="minorHAnsi" w:cs="Calibri"/>
          <w:color w:val="000000"/>
          <w:vertAlign w:val="superscript"/>
        </w:rPr>
        <w:footnoteReference w:id="34"/>
      </w:r>
    </w:p>
    <w:p w14:paraId="256BA495" w14:textId="77777777" w:rsidR="007810B4" w:rsidRPr="000C081F" w:rsidRDefault="007810B4" w:rsidP="00663D17">
      <w:pPr>
        <w:spacing w:line="360" w:lineRule="auto"/>
        <w:rPr>
          <w:rFonts w:asciiTheme="minorHAnsi" w:eastAsia="Calibri" w:hAnsiTheme="minorHAnsi" w:cs="Calibri"/>
        </w:rPr>
      </w:pPr>
    </w:p>
    <w:p w14:paraId="09C76CB3" w14:textId="77777777" w:rsidR="00917C31" w:rsidRPr="000C081F" w:rsidRDefault="008E1BDF" w:rsidP="00917C31">
      <w:pPr>
        <w:spacing w:line="360" w:lineRule="auto"/>
        <w:ind w:left="720"/>
        <w:rPr>
          <w:rFonts w:asciiTheme="minorHAnsi" w:eastAsia="Calibri" w:hAnsiTheme="minorHAnsi" w:cs="Calibri"/>
          <w:color w:val="000000"/>
        </w:rPr>
      </w:pPr>
      <w:r w:rsidRPr="000C081F">
        <w:rPr>
          <w:rFonts w:asciiTheme="minorHAnsi" w:eastAsia="Calibri" w:hAnsiTheme="minorHAnsi" w:cs="Calibri"/>
          <w:color w:val="000000"/>
        </w:rPr>
        <w:lastRenderedPageBreak/>
        <w:t xml:space="preserve">Tikanga is often assumed, recognised and referred to by New Zealand legislation. Like the common law made by courts, the legal effects of tikanga can be overridden by legislation. But even Parliament cannot change tikanga itself. </w:t>
      </w:r>
      <w:r w:rsidR="00917C31" w:rsidRPr="000C081F">
        <w:rPr>
          <w:rFonts w:asciiTheme="minorHAnsi" w:eastAsia="Calibri" w:hAnsiTheme="minorHAnsi" w:cs="Calibri"/>
          <w:color w:val="000000"/>
        </w:rPr>
        <w:t>Only iwi can,</w:t>
      </w:r>
      <w:r w:rsidRPr="000C081F">
        <w:rPr>
          <w:rFonts w:asciiTheme="minorHAnsi" w:eastAsia="Calibri" w:hAnsiTheme="minorHAnsi" w:cs="Calibri"/>
          <w:color w:val="000000"/>
        </w:rPr>
        <w:t xml:space="preserve"> exercising their rangatiratanga. Similarly, one iwi cannot override the tikanga of another iwi without impinging on their rangatiratanga. Tikanga was recognised by English common law that accompanied the Crown to New Zealand, as were other sources of law. It is recognised by New Zealand common law today. As governing values for iwi and hapū, tikanga informs the common law. But it can be even stronger in legal effect than that. Tikanga can determine the outcome of a court’s application of a statute or the common law, as it has in some cases. It can be a direct source of legal rights enforced by the courts</w:t>
      </w:r>
      <w:r w:rsidR="00917C31" w:rsidRPr="000C081F">
        <w:rPr>
          <w:rFonts w:asciiTheme="minorHAnsi" w:eastAsia="Calibri" w:hAnsiTheme="minorHAnsi" w:cs="Calibri"/>
          <w:color w:val="000000"/>
        </w:rPr>
        <w:t>.</w:t>
      </w:r>
    </w:p>
    <w:p w14:paraId="0525B22B" w14:textId="77777777" w:rsidR="00917C31" w:rsidRPr="000C081F" w:rsidRDefault="00917C31" w:rsidP="00917C31">
      <w:pPr>
        <w:spacing w:line="360" w:lineRule="auto"/>
        <w:rPr>
          <w:rFonts w:asciiTheme="minorHAnsi" w:eastAsia="Calibri" w:hAnsiTheme="minorHAnsi" w:cs="Calibri"/>
          <w:color w:val="000000"/>
        </w:rPr>
      </w:pPr>
    </w:p>
    <w:p w14:paraId="7A1CEF79" w14:textId="42F7B62D" w:rsidR="007810B4" w:rsidRPr="000C081F" w:rsidRDefault="00573510" w:rsidP="00917C31">
      <w:pPr>
        <w:spacing w:line="360" w:lineRule="auto"/>
        <w:rPr>
          <w:rFonts w:asciiTheme="minorHAnsi" w:eastAsia="Calibri" w:hAnsiTheme="minorHAnsi" w:cs="Calibri"/>
          <w:color w:val="000000"/>
        </w:rPr>
      </w:pPr>
      <w:r w:rsidRPr="000C081F">
        <w:rPr>
          <w:rFonts w:asciiTheme="minorHAnsi" w:eastAsia="Calibri" w:hAnsiTheme="minorHAnsi" w:cs="Calibri"/>
          <w:color w:val="000000"/>
        </w:rPr>
        <w:t>H</w:t>
      </w:r>
      <w:r w:rsidR="00C27FF3" w:rsidRPr="000C081F">
        <w:rPr>
          <w:rFonts w:asciiTheme="minorHAnsi" w:eastAsia="Calibri" w:hAnsiTheme="minorHAnsi" w:cs="Calibri"/>
          <w:color w:val="000000"/>
        </w:rPr>
        <w:t xml:space="preserve">e </w:t>
      </w:r>
      <w:r w:rsidRPr="000C081F">
        <w:rPr>
          <w:rFonts w:asciiTheme="minorHAnsi" w:eastAsia="Calibri" w:hAnsiTheme="minorHAnsi" w:cs="Calibri"/>
          <w:color w:val="000000"/>
        </w:rPr>
        <w:t xml:space="preserve">further </w:t>
      </w:r>
      <w:r w:rsidR="00C27FF3" w:rsidRPr="000C081F">
        <w:rPr>
          <w:rFonts w:asciiTheme="minorHAnsi" w:eastAsia="Calibri" w:hAnsiTheme="minorHAnsi" w:cs="Calibri"/>
          <w:color w:val="000000"/>
        </w:rPr>
        <w:t>wrote</w:t>
      </w:r>
      <w:r w:rsidRPr="000C081F">
        <w:rPr>
          <w:rFonts w:asciiTheme="minorHAnsi" w:eastAsia="Calibri" w:hAnsiTheme="minorHAnsi" w:cs="Calibri"/>
          <w:color w:val="000000"/>
        </w:rPr>
        <w:t xml:space="preserve"> that</w:t>
      </w:r>
      <w:r w:rsidR="00C27FF3" w:rsidRPr="000C081F">
        <w:rPr>
          <w:rFonts w:asciiTheme="minorHAnsi" w:eastAsia="Calibri" w:hAnsiTheme="minorHAnsi" w:cs="Calibri"/>
          <w:color w:val="000000"/>
        </w:rPr>
        <w:t xml:space="preserve"> </w:t>
      </w:r>
      <w:r w:rsidR="007810B4" w:rsidRPr="000C081F">
        <w:rPr>
          <w:rFonts w:asciiTheme="minorHAnsi" w:eastAsia="Calibri" w:hAnsiTheme="minorHAnsi" w:cs="Calibri"/>
          <w:color w:val="000000"/>
        </w:rPr>
        <w:t>“Neither interferes with the legal effect of the other.”</w:t>
      </w:r>
      <w:r w:rsidR="00C27FF3" w:rsidRPr="000C081F">
        <w:rPr>
          <w:rStyle w:val="FootnoteReference"/>
          <w:rFonts w:asciiTheme="minorHAnsi" w:eastAsia="Calibri" w:hAnsiTheme="minorHAnsi" w:cs="Calibri"/>
          <w:color w:val="000000"/>
        </w:rPr>
        <w:footnoteReference w:id="35"/>
      </w:r>
    </w:p>
    <w:p w14:paraId="431BEEB7" w14:textId="77777777" w:rsidR="007810B4" w:rsidRPr="000C081F" w:rsidRDefault="007810B4" w:rsidP="00663D17">
      <w:pPr>
        <w:spacing w:line="360" w:lineRule="auto"/>
        <w:rPr>
          <w:rFonts w:asciiTheme="minorHAnsi" w:eastAsia="Calibri" w:hAnsiTheme="minorHAnsi" w:cs="Calibri"/>
        </w:rPr>
      </w:pPr>
    </w:p>
    <w:p w14:paraId="47593B23" w14:textId="17E09528" w:rsidR="00342F17" w:rsidRPr="000C081F" w:rsidRDefault="00342F17" w:rsidP="00917C31">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rPr>
        <w:t xml:space="preserve">Lessons we can take from this case include, reinforcing </w:t>
      </w:r>
      <w:r w:rsidR="00F80250" w:rsidRPr="000C081F">
        <w:rPr>
          <w:rFonts w:asciiTheme="minorHAnsi" w:eastAsia="Calibri" w:hAnsiTheme="minorHAnsi" w:cs="Calibri"/>
        </w:rPr>
        <w:t>several</w:t>
      </w:r>
      <w:r w:rsidRPr="000C081F">
        <w:rPr>
          <w:rFonts w:asciiTheme="minorHAnsi" w:eastAsia="Calibri" w:hAnsiTheme="minorHAnsi" w:cs="Calibri"/>
        </w:rPr>
        <w:t xml:space="preserve"> earlier reflections:</w:t>
      </w:r>
    </w:p>
    <w:p w14:paraId="07F75B21" w14:textId="77777777" w:rsidR="00917C31" w:rsidRPr="000C081F" w:rsidRDefault="00917C31" w:rsidP="00917C31">
      <w:pPr>
        <w:pBdr>
          <w:top w:val="nil"/>
          <w:left w:val="nil"/>
          <w:bottom w:val="nil"/>
          <w:right w:val="nil"/>
          <w:between w:val="nil"/>
        </w:pBdr>
        <w:spacing w:line="360" w:lineRule="auto"/>
        <w:rPr>
          <w:rFonts w:asciiTheme="minorHAnsi" w:eastAsia="Calibri" w:hAnsiTheme="minorHAnsi" w:cs="Calibri"/>
        </w:rPr>
      </w:pPr>
    </w:p>
    <w:p w14:paraId="04AEEAA5" w14:textId="608E5160" w:rsidR="007810B4" w:rsidRPr="000C081F" w:rsidRDefault="00342F17" w:rsidP="00663D17">
      <w:pPr>
        <w:numPr>
          <w:ilvl w:val="0"/>
          <w:numId w:val="11"/>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Tikanga Māori is recognised as a distinct legal system that cannot be changed by the state legal system. </w:t>
      </w:r>
    </w:p>
    <w:p w14:paraId="3092316D" w14:textId="77777777" w:rsidR="00105A5E" w:rsidRPr="000C081F" w:rsidRDefault="00105A5E" w:rsidP="00105A5E">
      <w:pPr>
        <w:pBdr>
          <w:top w:val="nil"/>
          <w:left w:val="nil"/>
          <w:bottom w:val="nil"/>
          <w:right w:val="nil"/>
          <w:between w:val="nil"/>
        </w:pBdr>
        <w:spacing w:line="360" w:lineRule="auto"/>
        <w:rPr>
          <w:rFonts w:asciiTheme="minorHAnsi" w:eastAsia="Calibri" w:hAnsiTheme="minorHAnsi" w:cs="Calibri"/>
          <w:color w:val="000000"/>
        </w:rPr>
      </w:pPr>
    </w:p>
    <w:p w14:paraId="4F1CD106" w14:textId="64DB0133" w:rsidR="00342F17" w:rsidRPr="000C081F" w:rsidRDefault="00342F17" w:rsidP="00663D17">
      <w:pPr>
        <w:numPr>
          <w:ilvl w:val="0"/>
          <w:numId w:val="11"/>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 xml:space="preserve">While the outcome was not definitive, it was clear that tikanga Māori should ideally regulate disputes between and within </w:t>
      </w:r>
      <w:proofErr w:type="spellStart"/>
      <w:r w:rsidRPr="000C081F">
        <w:rPr>
          <w:rFonts w:asciiTheme="minorHAnsi" w:eastAsia="Calibri" w:hAnsiTheme="minorHAnsi" w:cs="Calibri"/>
        </w:rPr>
        <w:t>iwi|tribal</w:t>
      </w:r>
      <w:proofErr w:type="spellEnd"/>
      <w:r w:rsidRPr="000C081F">
        <w:rPr>
          <w:rFonts w:asciiTheme="minorHAnsi" w:eastAsia="Calibri" w:hAnsiTheme="minorHAnsi" w:cs="Calibri"/>
        </w:rPr>
        <w:t xml:space="preserve"> nations</w:t>
      </w:r>
      <w:r w:rsidR="00F80250" w:rsidRPr="000C081F">
        <w:rPr>
          <w:rFonts w:asciiTheme="minorHAnsi" w:eastAsia="Calibri" w:hAnsiTheme="minorHAnsi" w:cs="Calibri"/>
        </w:rPr>
        <w:t>.</w:t>
      </w:r>
    </w:p>
    <w:p w14:paraId="06552159" w14:textId="77777777" w:rsidR="007810B4" w:rsidRPr="000C081F" w:rsidRDefault="007810B4" w:rsidP="00663D17">
      <w:pPr>
        <w:spacing w:line="360" w:lineRule="auto"/>
        <w:rPr>
          <w:rFonts w:asciiTheme="minorHAnsi" w:eastAsia="Calibri" w:hAnsiTheme="minorHAnsi" w:cs="Calibri"/>
          <w:color w:val="000000"/>
        </w:rPr>
      </w:pPr>
    </w:p>
    <w:p w14:paraId="72FCB2FA" w14:textId="33891022" w:rsidR="00342F17" w:rsidRPr="000C081F" w:rsidRDefault="002B731B" w:rsidP="00663D17">
      <w:pPr>
        <w:pStyle w:val="Heading2"/>
      </w:pPr>
      <w:r w:rsidRPr="000C081F">
        <w:t xml:space="preserve">H </w:t>
      </w:r>
      <w:r w:rsidR="007810B4" w:rsidRPr="000C081F">
        <w:t xml:space="preserve">Tikanga </w:t>
      </w:r>
      <w:r w:rsidR="00342F17" w:rsidRPr="000C081F">
        <w:t>and</w:t>
      </w:r>
      <w:r w:rsidR="007810B4" w:rsidRPr="000C081F">
        <w:t xml:space="preserve"> </w:t>
      </w:r>
      <w:r w:rsidR="00342F17" w:rsidRPr="000C081F">
        <w:t>p</w:t>
      </w:r>
      <w:r w:rsidR="007810B4" w:rsidRPr="000C081F">
        <w:t xml:space="preserve">roperty </w:t>
      </w:r>
      <w:r w:rsidR="00342F17" w:rsidRPr="000C081F">
        <w:t>r</w:t>
      </w:r>
      <w:r w:rsidR="007810B4" w:rsidRPr="000C081F">
        <w:t>ights</w:t>
      </w:r>
    </w:p>
    <w:p w14:paraId="71A5A282" w14:textId="77777777" w:rsidR="009927CD" w:rsidRPr="000C081F" w:rsidRDefault="009927CD" w:rsidP="00663D17">
      <w:pPr>
        <w:spacing w:line="360" w:lineRule="auto"/>
        <w:rPr>
          <w:rFonts w:asciiTheme="minorHAnsi" w:hAnsiTheme="minorHAnsi"/>
        </w:rPr>
      </w:pPr>
    </w:p>
    <w:p w14:paraId="795BCD4F" w14:textId="0F686F68" w:rsidR="007810B4" w:rsidRPr="000C081F" w:rsidRDefault="00F80250" w:rsidP="00F80250">
      <w:pPr>
        <w:spacing w:line="360" w:lineRule="auto"/>
        <w:rPr>
          <w:rFonts w:asciiTheme="minorHAnsi" w:hAnsiTheme="minorHAnsi"/>
        </w:rPr>
      </w:pPr>
      <w:r w:rsidRPr="000C081F">
        <w:rPr>
          <w:rFonts w:asciiTheme="minorHAnsi" w:hAnsiTheme="minorHAnsi"/>
          <w:iCs/>
        </w:rPr>
        <w:t xml:space="preserve">The </w:t>
      </w:r>
      <w:r w:rsidR="007810B4" w:rsidRPr="000C081F">
        <w:rPr>
          <w:rFonts w:asciiTheme="minorHAnsi" w:hAnsiTheme="minorHAnsi"/>
          <w:i/>
        </w:rPr>
        <w:t xml:space="preserve">Re Edwards </w:t>
      </w:r>
      <w:proofErr w:type="spellStart"/>
      <w:r w:rsidR="007810B4" w:rsidRPr="000C081F">
        <w:rPr>
          <w:rFonts w:asciiTheme="minorHAnsi" w:hAnsiTheme="minorHAnsi"/>
          <w:i/>
        </w:rPr>
        <w:t>Whakatohea</w:t>
      </w:r>
      <w:proofErr w:type="spellEnd"/>
      <w:r w:rsidR="007810B4" w:rsidRPr="000C081F">
        <w:rPr>
          <w:rFonts w:asciiTheme="minorHAnsi" w:hAnsiTheme="minorHAnsi"/>
          <w:i/>
        </w:rPr>
        <w:t xml:space="preserve"> </w:t>
      </w:r>
      <w:r w:rsidR="007810B4" w:rsidRPr="000C081F">
        <w:rPr>
          <w:rFonts w:asciiTheme="minorHAnsi" w:hAnsiTheme="minorHAnsi"/>
        </w:rPr>
        <w:t>case involve</w:t>
      </w:r>
      <w:r w:rsidR="00EF1DA6" w:rsidRPr="000C081F">
        <w:rPr>
          <w:rFonts w:asciiTheme="minorHAnsi" w:hAnsiTheme="minorHAnsi"/>
        </w:rPr>
        <w:t>d</w:t>
      </w:r>
      <w:r w:rsidR="007810B4" w:rsidRPr="000C081F">
        <w:rPr>
          <w:rFonts w:asciiTheme="minorHAnsi" w:hAnsiTheme="minorHAnsi"/>
        </w:rPr>
        <w:t xml:space="preserve"> a claim to customary title to the foreshore under </w:t>
      </w:r>
      <w:r w:rsidR="00342F17" w:rsidRPr="000C081F">
        <w:rPr>
          <w:rFonts w:asciiTheme="minorHAnsi" w:hAnsiTheme="minorHAnsi"/>
        </w:rPr>
        <w:t>the Marine and Coastal Area (</w:t>
      </w:r>
      <w:proofErr w:type="spellStart"/>
      <w:r w:rsidR="00342F17" w:rsidRPr="000C081F">
        <w:rPr>
          <w:rFonts w:asciiTheme="minorHAnsi" w:hAnsiTheme="minorHAnsi"/>
        </w:rPr>
        <w:t>Takutai</w:t>
      </w:r>
      <w:proofErr w:type="spellEnd"/>
      <w:r w:rsidR="00342F17" w:rsidRPr="000C081F">
        <w:rPr>
          <w:rFonts w:asciiTheme="minorHAnsi" w:hAnsiTheme="minorHAnsi"/>
        </w:rPr>
        <w:t xml:space="preserve"> Moana) Act 2011.</w:t>
      </w:r>
      <w:r w:rsidRPr="000C081F">
        <w:rPr>
          <w:rStyle w:val="FootnoteReference"/>
          <w:rFonts w:asciiTheme="minorHAnsi" w:eastAsia="Calibri" w:hAnsiTheme="minorHAnsi" w:cs="Calibri"/>
          <w:color w:val="000000"/>
        </w:rPr>
        <w:footnoteReference w:id="36"/>
      </w:r>
      <w:r w:rsidR="00342F17" w:rsidRPr="000C081F">
        <w:rPr>
          <w:rFonts w:asciiTheme="minorHAnsi" w:hAnsiTheme="minorHAnsi"/>
        </w:rPr>
        <w:t xml:space="preserve"> </w:t>
      </w:r>
      <w:r w:rsidR="007810B4" w:rsidRPr="000C081F">
        <w:rPr>
          <w:rFonts w:asciiTheme="minorHAnsi" w:hAnsiTheme="minorHAnsi"/>
        </w:rPr>
        <w:t>The legal test</w:t>
      </w:r>
      <w:r w:rsidR="00342F17" w:rsidRPr="000C081F">
        <w:rPr>
          <w:rFonts w:asciiTheme="minorHAnsi" w:hAnsiTheme="minorHAnsi"/>
        </w:rPr>
        <w:t xml:space="preserve"> that iwi or hapū Māori </w:t>
      </w:r>
      <w:r w:rsidR="00EF1DA6" w:rsidRPr="000C081F">
        <w:rPr>
          <w:rFonts w:asciiTheme="minorHAnsi" w:hAnsiTheme="minorHAnsi"/>
        </w:rPr>
        <w:t>must</w:t>
      </w:r>
      <w:r w:rsidR="00342F17" w:rsidRPr="000C081F">
        <w:rPr>
          <w:rFonts w:asciiTheme="minorHAnsi" w:hAnsiTheme="minorHAnsi"/>
        </w:rPr>
        <w:t xml:space="preserve"> meet</w:t>
      </w:r>
      <w:r w:rsidR="007810B4" w:rsidRPr="000C081F">
        <w:rPr>
          <w:rFonts w:asciiTheme="minorHAnsi" w:hAnsiTheme="minorHAnsi"/>
        </w:rPr>
        <w:t xml:space="preserve"> is </w:t>
      </w:r>
      <w:r w:rsidR="00687C2F" w:rsidRPr="000C081F">
        <w:rPr>
          <w:rFonts w:asciiTheme="minorHAnsi" w:hAnsiTheme="minorHAnsi"/>
        </w:rPr>
        <w:t>to have had exclusive use and occupation of the relevant area since 1840 without substantial interruption, and to have held that area according with tikanga.</w:t>
      </w:r>
      <w:r w:rsidR="00342F17" w:rsidRPr="000C081F">
        <w:rPr>
          <w:rStyle w:val="FootnoteReference"/>
          <w:rFonts w:asciiTheme="minorHAnsi" w:eastAsia="Calibri" w:hAnsiTheme="minorHAnsi" w:cs="Calibri"/>
          <w:color w:val="000000"/>
        </w:rPr>
        <w:footnoteReference w:id="37"/>
      </w:r>
    </w:p>
    <w:p w14:paraId="429D57BB" w14:textId="2C6FF2C7" w:rsidR="007810B4" w:rsidRPr="000C081F" w:rsidRDefault="007810B4" w:rsidP="00663D17">
      <w:pPr>
        <w:shd w:val="clear" w:color="auto" w:fill="FFFFFF"/>
        <w:spacing w:line="360" w:lineRule="auto"/>
        <w:rPr>
          <w:rFonts w:asciiTheme="minorHAnsi" w:eastAsia="Calibri" w:hAnsiTheme="minorHAnsi" w:cs="Calibri"/>
          <w:color w:val="000000"/>
        </w:rPr>
      </w:pPr>
    </w:p>
    <w:p w14:paraId="293B77C7" w14:textId="40C9FE5C" w:rsidR="007810B4" w:rsidRPr="000C081F" w:rsidRDefault="00342F17" w:rsidP="00663D17">
      <w:pPr>
        <w:shd w:val="clear" w:color="auto" w:fill="FFFFFF"/>
        <w:spacing w:line="360" w:lineRule="auto"/>
        <w:rPr>
          <w:rFonts w:asciiTheme="minorHAnsi" w:eastAsia="Calibri" w:hAnsiTheme="minorHAnsi" w:cs="Calibri"/>
          <w:color w:val="000000"/>
        </w:rPr>
      </w:pPr>
      <w:r w:rsidRPr="000C081F">
        <w:rPr>
          <w:rFonts w:asciiTheme="minorHAnsi" w:eastAsia="Calibri" w:hAnsiTheme="minorHAnsi" w:cs="Calibri"/>
          <w:color w:val="000000"/>
        </w:rPr>
        <w:t>An award of c</w:t>
      </w:r>
      <w:r w:rsidR="007810B4" w:rsidRPr="000C081F">
        <w:rPr>
          <w:rFonts w:asciiTheme="minorHAnsi" w:eastAsia="Calibri" w:hAnsiTheme="minorHAnsi" w:cs="Calibri"/>
          <w:color w:val="000000"/>
        </w:rPr>
        <w:t xml:space="preserve">ustomary marine title </w:t>
      </w:r>
      <w:r w:rsidRPr="000C081F">
        <w:rPr>
          <w:rFonts w:asciiTheme="minorHAnsi" w:eastAsia="Calibri" w:hAnsiTheme="minorHAnsi" w:cs="Calibri"/>
          <w:color w:val="000000"/>
        </w:rPr>
        <w:t xml:space="preserve">results in the relevant </w:t>
      </w:r>
      <w:r w:rsidR="00687C2F" w:rsidRPr="000C081F">
        <w:rPr>
          <w:rFonts w:asciiTheme="minorHAnsi" w:eastAsia="Calibri" w:hAnsiTheme="minorHAnsi" w:cs="Calibri"/>
          <w:color w:val="000000"/>
        </w:rPr>
        <w:t xml:space="preserve">Māori </w:t>
      </w:r>
      <w:r w:rsidRPr="000C081F">
        <w:rPr>
          <w:rFonts w:asciiTheme="minorHAnsi" w:eastAsia="Calibri" w:hAnsiTheme="minorHAnsi" w:cs="Calibri"/>
          <w:color w:val="000000"/>
        </w:rPr>
        <w:t>group acquiring</w:t>
      </w:r>
      <w:r w:rsidR="007810B4" w:rsidRPr="000C081F">
        <w:rPr>
          <w:rFonts w:asciiTheme="minorHAnsi" w:eastAsia="Calibri" w:hAnsiTheme="minorHAnsi" w:cs="Calibri"/>
          <w:color w:val="000000"/>
        </w:rPr>
        <w:t xml:space="preserve"> certain rights.</w:t>
      </w:r>
      <w:r w:rsidR="007810B4" w:rsidRPr="000C081F">
        <w:rPr>
          <w:rFonts w:asciiTheme="minorHAnsi" w:eastAsia="Calibri" w:hAnsiTheme="minorHAnsi" w:cs="Calibri"/>
        </w:rPr>
        <w:t xml:space="preserve"> The </w:t>
      </w:r>
      <w:r w:rsidR="007810B4" w:rsidRPr="000C081F">
        <w:rPr>
          <w:rFonts w:asciiTheme="minorHAnsi" w:eastAsia="Calibri" w:hAnsiTheme="minorHAnsi" w:cs="Calibri"/>
          <w:color w:val="000000"/>
        </w:rPr>
        <w:t>Court found</w:t>
      </w:r>
      <w:r w:rsidR="007810B4" w:rsidRPr="000C081F">
        <w:rPr>
          <w:rFonts w:asciiTheme="minorHAnsi" w:eastAsia="Calibri" w:hAnsiTheme="minorHAnsi" w:cs="Calibri"/>
        </w:rPr>
        <w:t xml:space="preserve"> that </w:t>
      </w:r>
      <w:r w:rsidR="007810B4" w:rsidRPr="000C081F">
        <w:rPr>
          <w:rFonts w:asciiTheme="minorHAnsi" w:eastAsia="Calibri" w:hAnsiTheme="minorHAnsi" w:cs="Calibri"/>
          <w:color w:val="000000"/>
        </w:rPr>
        <w:t>the ‘sui generis’ nature of customary marine title</w:t>
      </w:r>
      <w:r w:rsidR="00687C2F" w:rsidRPr="000C081F">
        <w:rPr>
          <w:rFonts w:asciiTheme="minorHAnsi" w:eastAsia="Calibri" w:hAnsiTheme="minorHAnsi" w:cs="Calibri"/>
          <w:color w:val="000000"/>
        </w:rPr>
        <w:t xml:space="preserve"> requires</w:t>
      </w:r>
      <w:r w:rsidR="007810B4" w:rsidRPr="000C081F">
        <w:rPr>
          <w:rFonts w:asciiTheme="minorHAnsi" w:eastAsia="Calibri" w:hAnsiTheme="minorHAnsi" w:cs="Calibri"/>
          <w:color w:val="000000"/>
        </w:rPr>
        <w:t xml:space="preserve"> the assessment </w:t>
      </w:r>
      <w:r w:rsidR="00687C2F" w:rsidRPr="000C081F">
        <w:rPr>
          <w:rFonts w:asciiTheme="minorHAnsi" w:eastAsia="Calibri" w:hAnsiTheme="minorHAnsi" w:cs="Calibri"/>
          <w:color w:val="000000"/>
        </w:rPr>
        <w:t xml:space="preserve">to focus </w:t>
      </w:r>
      <w:r w:rsidR="007810B4" w:rsidRPr="000C081F">
        <w:rPr>
          <w:rFonts w:asciiTheme="minorHAnsi" w:eastAsia="Calibri" w:hAnsiTheme="minorHAnsi" w:cs="Calibri"/>
          <w:color w:val="000000"/>
        </w:rPr>
        <w:t xml:space="preserve">on tikanga, rather than </w:t>
      </w:r>
      <w:r w:rsidR="00687C2F" w:rsidRPr="000C081F">
        <w:rPr>
          <w:rFonts w:asciiTheme="minorHAnsi" w:eastAsia="Calibri" w:hAnsiTheme="minorHAnsi" w:cs="Calibri"/>
          <w:color w:val="000000"/>
        </w:rPr>
        <w:t>W</w:t>
      </w:r>
      <w:r w:rsidR="007810B4" w:rsidRPr="000C081F">
        <w:rPr>
          <w:rFonts w:asciiTheme="minorHAnsi" w:eastAsia="Calibri" w:hAnsiTheme="minorHAnsi" w:cs="Calibri"/>
          <w:color w:val="000000"/>
        </w:rPr>
        <w:t>estern proprietary concepts.</w:t>
      </w:r>
      <w:r w:rsidRPr="000C081F">
        <w:rPr>
          <w:rStyle w:val="FootnoteReference"/>
          <w:rFonts w:asciiTheme="minorHAnsi" w:eastAsia="Calibri" w:hAnsiTheme="minorHAnsi" w:cs="Calibri"/>
          <w:color w:val="000000"/>
        </w:rPr>
        <w:footnoteReference w:id="38"/>
      </w:r>
    </w:p>
    <w:p w14:paraId="10C31248" w14:textId="77777777" w:rsidR="007810B4" w:rsidRPr="000C081F" w:rsidRDefault="007810B4" w:rsidP="00663D17">
      <w:pPr>
        <w:pBdr>
          <w:top w:val="nil"/>
          <w:left w:val="nil"/>
          <w:bottom w:val="nil"/>
          <w:right w:val="nil"/>
          <w:between w:val="nil"/>
        </w:pBdr>
        <w:spacing w:line="360" w:lineRule="auto"/>
        <w:rPr>
          <w:rFonts w:asciiTheme="minorHAnsi" w:eastAsia="Calibri" w:hAnsiTheme="minorHAnsi" w:cs="Calibri"/>
          <w:color w:val="000000"/>
        </w:rPr>
      </w:pPr>
    </w:p>
    <w:p w14:paraId="26A11199" w14:textId="27B0359C" w:rsidR="007810B4" w:rsidRPr="000C081F" w:rsidRDefault="00663D17" w:rsidP="00663D17">
      <w:pPr>
        <w:pStyle w:val="Heading1"/>
        <w:rPr>
          <w:sz w:val="24"/>
          <w:szCs w:val="24"/>
        </w:rPr>
      </w:pPr>
      <w:r w:rsidRPr="000C081F">
        <w:rPr>
          <w:sz w:val="24"/>
          <w:szCs w:val="24"/>
        </w:rPr>
        <w:t xml:space="preserve">VIII </w:t>
      </w:r>
      <w:r w:rsidR="007810B4" w:rsidRPr="000C081F">
        <w:rPr>
          <w:sz w:val="24"/>
          <w:szCs w:val="24"/>
        </w:rPr>
        <w:t>Conclusions</w:t>
      </w:r>
    </w:p>
    <w:p w14:paraId="0C2CF254" w14:textId="77777777" w:rsidR="007810B4" w:rsidRPr="000C081F" w:rsidRDefault="007810B4" w:rsidP="00663D17">
      <w:pPr>
        <w:spacing w:line="360" w:lineRule="auto"/>
        <w:rPr>
          <w:rFonts w:asciiTheme="minorHAnsi" w:eastAsia="Calibri" w:hAnsiTheme="minorHAnsi" w:cs="Calibri"/>
          <w:color w:val="000000"/>
        </w:rPr>
      </w:pPr>
    </w:p>
    <w:p w14:paraId="33592887" w14:textId="3B7E5E93" w:rsidR="007810B4" w:rsidRPr="000C081F" w:rsidRDefault="00EF1DA6" w:rsidP="00663D17">
      <w:pPr>
        <w:spacing w:line="360" w:lineRule="auto"/>
        <w:rPr>
          <w:rFonts w:asciiTheme="minorHAnsi" w:eastAsia="Calibri" w:hAnsiTheme="minorHAnsi" w:cs="Calibri"/>
        </w:rPr>
      </w:pPr>
      <w:r w:rsidRPr="000C081F">
        <w:rPr>
          <w:rFonts w:asciiTheme="minorHAnsi" w:eastAsia="Calibri" w:hAnsiTheme="minorHAnsi" w:cs="Calibri"/>
        </w:rPr>
        <w:t>Returning to our assessment of whether the increasing incorporation of tikanga Māori into state law amounts to a realisation of the right to self-determination, what have we learned</w:t>
      </w:r>
      <w:r w:rsidR="00837595" w:rsidRPr="000C081F">
        <w:rPr>
          <w:rFonts w:asciiTheme="minorHAnsi" w:eastAsia="Calibri" w:hAnsiTheme="minorHAnsi" w:cs="Calibri"/>
        </w:rPr>
        <w:t>?</w:t>
      </w:r>
      <w:r w:rsidRPr="000C081F">
        <w:rPr>
          <w:rFonts w:asciiTheme="minorHAnsi" w:eastAsia="Calibri" w:hAnsiTheme="minorHAnsi" w:cs="Calibri"/>
        </w:rPr>
        <w:t xml:space="preserve"> On the one hand, there are several developments that reflect possible greater self-determination.</w:t>
      </w:r>
    </w:p>
    <w:p w14:paraId="7BC8DFBC" w14:textId="77777777" w:rsidR="00EF1DA6" w:rsidRPr="000C081F" w:rsidRDefault="00EF1DA6" w:rsidP="00663D17">
      <w:pPr>
        <w:spacing w:line="360" w:lineRule="auto"/>
        <w:rPr>
          <w:rFonts w:asciiTheme="minorHAnsi" w:eastAsia="Calibri" w:hAnsiTheme="minorHAnsi" w:cs="Calibri"/>
          <w:color w:val="000000"/>
        </w:rPr>
      </w:pPr>
    </w:p>
    <w:p w14:paraId="5AAD9C08" w14:textId="001984ED" w:rsidR="007810B4" w:rsidRPr="000C081F" w:rsidRDefault="00EF1DA6"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w:t>
      </w:r>
      <w:r w:rsidR="007810B4" w:rsidRPr="000C081F">
        <w:rPr>
          <w:rFonts w:asciiTheme="minorHAnsi" w:eastAsia="Calibri" w:hAnsiTheme="minorHAnsi" w:cs="Calibri"/>
        </w:rPr>
        <w:t>here</w:t>
      </w:r>
      <w:r w:rsidRPr="000C081F">
        <w:rPr>
          <w:rFonts w:asciiTheme="minorHAnsi" w:eastAsia="Calibri" w:hAnsiTheme="minorHAnsi" w:cs="Calibri"/>
        </w:rPr>
        <w:t xml:space="preserve"> has</w:t>
      </w:r>
      <w:r w:rsidR="007810B4" w:rsidRPr="000C081F">
        <w:rPr>
          <w:rFonts w:asciiTheme="minorHAnsi" w:eastAsia="Calibri" w:hAnsiTheme="minorHAnsi" w:cs="Calibri"/>
        </w:rPr>
        <w:t xml:space="preserve"> been a f</w:t>
      </w:r>
      <w:r w:rsidR="007810B4" w:rsidRPr="000C081F">
        <w:rPr>
          <w:rFonts w:asciiTheme="minorHAnsi" w:eastAsia="Calibri" w:hAnsiTheme="minorHAnsi" w:cs="Calibri"/>
          <w:color w:val="000000"/>
        </w:rPr>
        <w:t xml:space="preserve">undamental constitutional shift in that pluralism has been recognised, contrary to </w:t>
      </w:r>
      <w:r w:rsidRPr="000C081F">
        <w:rPr>
          <w:rFonts w:asciiTheme="minorHAnsi" w:eastAsia="Calibri" w:hAnsiTheme="minorHAnsi" w:cs="Calibri"/>
          <w:color w:val="000000"/>
        </w:rPr>
        <w:t xml:space="preserve">the basic understanding that Aotearoa New Zealand is mono </w:t>
      </w:r>
      <w:r w:rsidR="007810B4" w:rsidRPr="000C081F">
        <w:rPr>
          <w:rFonts w:asciiTheme="minorHAnsi" w:eastAsia="Calibri" w:hAnsiTheme="minorHAnsi" w:cs="Calibri"/>
        </w:rPr>
        <w:t>legal</w:t>
      </w:r>
      <w:r w:rsidRPr="000C081F">
        <w:rPr>
          <w:rFonts w:asciiTheme="minorHAnsi" w:eastAsia="Calibri" w:hAnsiTheme="minorHAnsi" w:cs="Calibri"/>
        </w:rPr>
        <w:t xml:space="preserve"> where state law is the only legal system operative in the territories of Aotearoa New Zealand</w:t>
      </w:r>
      <w:r w:rsidR="007810B4" w:rsidRPr="000C081F">
        <w:rPr>
          <w:rFonts w:asciiTheme="minorHAnsi" w:eastAsia="Calibri" w:hAnsiTheme="minorHAnsi" w:cs="Calibri"/>
          <w:color w:val="000000"/>
        </w:rPr>
        <w:t>.</w:t>
      </w:r>
      <w:r w:rsidRPr="000C081F">
        <w:rPr>
          <w:rFonts w:asciiTheme="minorHAnsi" w:eastAsia="Calibri" w:hAnsiTheme="minorHAnsi" w:cs="Calibri"/>
          <w:color w:val="000000"/>
        </w:rPr>
        <w:t xml:space="preserve"> </w:t>
      </w:r>
    </w:p>
    <w:p w14:paraId="75CB3AB6" w14:textId="0170D9D0" w:rsidR="0034701E" w:rsidRPr="000C081F" w:rsidRDefault="0034701E" w:rsidP="00663D17">
      <w:pPr>
        <w:pBdr>
          <w:top w:val="nil"/>
          <w:left w:val="nil"/>
          <w:bottom w:val="nil"/>
          <w:right w:val="nil"/>
          <w:between w:val="nil"/>
        </w:pBdr>
        <w:spacing w:line="360" w:lineRule="auto"/>
        <w:ind w:left="360"/>
        <w:rPr>
          <w:rFonts w:asciiTheme="minorHAnsi" w:eastAsia="Calibri" w:hAnsiTheme="minorHAnsi" w:cs="Calibri"/>
          <w:color w:val="000000"/>
        </w:rPr>
      </w:pPr>
    </w:p>
    <w:p w14:paraId="1BB064B4" w14:textId="06230893" w:rsidR="00EF1DA6" w:rsidRPr="000C081F" w:rsidRDefault="00E11EB5"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 courts have accepted that they have no authority to change or interfere with</w:t>
      </w:r>
      <w:r w:rsidR="00837595" w:rsidRPr="000C081F">
        <w:rPr>
          <w:rFonts w:asciiTheme="minorHAnsi" w:eastAsia="Calibri" w:hAnsiTheme="minorHAnsi" w:cs="Calibri"/>
        </w:rPr>
        <w:t xml:space="preserve"> either</w:t>
      </w:r>
      <w:r w:rsidRPr="000C081F">
        <w:rPr>
          <w:rFonts w:asciiTheme="minorHAnsi" w:eastAsia="Calibri" w:hAnsiTheme="minorHAnsi" w:cs="Calibri"/>
        </w:rPr>
        <w:t xml:space="preserve"> the content </w:t>
      </w:r>
      <w:r w:rsidR="00837595" w:rsidRPr="000C081F">
        <w:rPr>
          <w:rFonts w:asciiTheme="minorHAnsi" w:eastAsia="Calibri" w:hAnsiTheme="minorHAnsi" w:cs="Calibri"/>
        </w:rPr>
        <w:t xml:space="preserve">of, </w:t>
      </w:r>
      <w:proofErr w:type="gramStart"/>
      <w:r w:rsidR="00837595" w:rsidRPr="000C081F">
        <w:rPr>
          <w:rFonts w:asciiTheme="minorHAnsi" w:eastAsia="Calibri" w:hAnsiTheme="minorHAnsi" w:cs="Calibri"/>
        </w:rPr>
        <w:t>n</w:t>
      </w:r>
      <w:r w:rsidRPr="000C081F">
        <w:rPr>
          <w:rFonts w:asciiTheme="minorHAnsi" w:eastAsia="Calibri" w:hAnsiTheme="minorHAnsi" w:cs="Calibri"/>
        </w:rPr>
        <w:t>or</w:t>
      </w:r>
      <w:proofErr w:type="gramEnd"/>
      <w:r w:rsidRPr="000C081F">
        <w:rPr>
          <w:rFonts w:asciiTheme="minorHAnsi" w:eastAsia="Calibri" w:hAnsiTheme="minorHAnsi" w:cs="Calibri"/>
        </w:rPr>
        <w:t xml:space="preserve"> methods of</w:t>
      </w:r>
      <w:r w:rsidR="000C081F" w:rsidRPr="000C081F">
        <w:rPr>
          <w:rFonts w:asciiTheme="minorHAnsi" w:eastAsia="Calibri" w:hAnsiTheme="minorHAnsi" w:cs="Calibri"/>
        </w:rPr>
        <w:t>,</w:t>
      </w:r>
      <w:r w:rsidRPr="000C081F">
        <w:rPr>
          <w:rFonts w:asciiTheme="minorHAnsi" w:eastAsia="Calibri" w:hAnsiTheme="minorHAnsi" w:cs="Calibri"/>
        </w:rPr>
        <w:t xml:space="preserve"> developing tikanga Māori. They recognise that Māori have the exclusive authority to do so. </w:t>
      </w:r>
    </w:p>
    <w:p w14:paraId="20F7E032" w14:textId="1D67BBD6" w:rsidR="0034701E" w:rsidRPr="000C081F" w:rsidRDefault="0034701E" w:rsidP="00663D17">
      <w:pPr>
        <w:pBdr>
          <w:top w:val="nil"/>
          <w:left w:val="nil"/>
          <w:bottom w:val="nil"/>
          <w:right w:val="nil"/>
          <w:between w:val="nil"/>
        </w:pBdr>
        <w:spacing w:line="360" w:lineRule="auto"/>
        <w:rPr>
          <w:rFonts w:asciiTheme="minorHAnsi" w:eastAsia="Calibri" w:hAnsiTheme="minorHAnsi" w:cs="Calibri"/>
          <w:color w:val="000000"/>
        </w:rPr>
      </w:pPr>
    </w:p>
    <w:p w14:paraId="77503387" w14:textId="090CA7D4" w:rsidR="00E11EB5" w:rsidRPr="000C081F" w:rsidRDefault="00E11EB5"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w:t>
      </w:r>
      <w:r w:rsidR="007810B4" w:rsidRPr="000C081F">
        <w:rPr>
          <w:rFonts w:asciiTheme="minorHAnsi" w:eastAsia="Calibri" w:hAnsiTheme="minorHAnsi" w:cs="Calibri"/>
        </w:rPr>
        <w:t xml:space="preserve"> </w:t>
      </w:r>
      <w:r w:rsidR="007810B4" w:rsidRPr="000C081F">
        <w:rPr>
          <w:rFonts w:asciiTheme="minorHAnsi" w:eastAsia="Calibri" w:hAnsiTheme="minorHAnsi" w:cs="Calibri"/>
          <w:color w:val="000000"/>
        </w:rPr>
        <w:t>courts are leading the</w:t>
      </w:r>
      <w:r w:rsidRPr="000C081F">
        <w:rPr>
          <w:rFonts w:asciiTheme="minorHAnsi" w:eastAsia="Calibri" w:hAnsiTheme="minorHAnsi" w:cs="Calibri"/>
          <w:color w:val="000000"/>
        </w:rPr>
        <w:t xml:space="preserve"> way in the increasing</w:t>
      </w:r>
      <w:r w:rsidR="007810B4" w:rsidRPr="000C081F">
        <w:rPr>
          <w:rFonts w:asciiTheme="minorHAnsi" w:eastAsia="Calibri" w:hAnsiTheme="minorHAnsi" w:cs="Calibri"/>
          <w:color w:val="000000"/>
        </w:rPr>
        <w:t xml:space="preserve"> incorporation of tikanga Māori into state law, </w:t>
      </w:r>
      <w:r w:rsidRPr="000C081F">
        <w:rPr>
          <w:rFonts w:asciiTheme="minorHAnsi" w:eastAsia="Calibri" w:hAnsiTheme="minorHAnsi" w:cs="Calibri"/>
          <w:color w:val="000000"/>
        </w:rPr>
        <w:t>although the legislature has also been active</w:t>
      </w:r>
      <w:r w:rsidR="005B294C" w:rsidRPr="000C081F">
        <w:rPr>
          <w:rFonts w:asciiTheme="minorHAnsi" w:eastAsia="Calibri" w:hAnsiTheme="minorHAnsi" w:cs="Calibri"/>
          <w:color w:val="000000"/>
        </w:rPr>
        <w:t xml:space="preserve"> in including tikanga </w:t>
      </w:r>
      <w:r w:rsidR="00837595" w:rsidRPr="000C081F">
        <w:rPr>
          <w:rFonts w:asciiTheme="minorHAnsi" w:eastAsia="Calibri" w:hAnsiTheme="minorHAnsi" w:cs="Calibri"/>
          <w:color w:val="000000"/>
        </w:rPr>
        <w:t>in a few statutes</w:t>
      </w:r>
      <w:r w:rsidR="007810B4" w:rsidRPr="000C081F">
        <w:rPr>
          <w:rFonts w:asciiTheme="minorHAnsi" w:eastAsia="Calibri" w:hAnsiTheme="minorHAnsi" w:cs="Calibri"/>
          <w:color w:val="000000"/>
        </w:rPr>
        <w:t>.</w:t>
      </w:r>
    </w:p>
    <w:p w14:paraId="67A5282E" w14:textId="3DCB3865" w:rsidR="00655B5F" w:rsidRPr="000C081F" w:rsidRDefault="00655B5F" w:rsidP="00663D17">
      <w:pPr>
        <w:pBdr>
          <w:top w:val="nil"/>
          <w:left w:val="nil"/>
          <w:bottom w:val="nil"/>
          <w:right w:val="nil"/>
          <w:between w:val="nil"/>
        </w:pBdr>
        <w:spacing w:line="360" w:lineRule="auto"/>
        <w:rPr>
          <w:rFonts w:asciiTheme="minorHAnsi" w:eastAsia="Calibri" w:hAnsiTheme="minorHAnsi" w:cs="Calibri"/>
          <w:color w:val="000000"/>
        </w:rPr>
      </w:pPr>
    </w:p>
    <w:p w14:paraId="693D230F" w14:textId="202FDA6D" w:rsidR="005B294C" w:rsidRPr="000C081F" w:rsidRDefault="005B294C"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The courts have taken evidence and heed of experts’ interpretations of tikanga Māori as determinative of relevant tikanga.</w:t>
      </w:r>
    </w:p>
    <w:p w14:paraId="1CC845EF" w14:textId="529E2625" w:rsidR="0034701E" w:rsidRPr="000C081F" w:rsidRDefault="0034701E" w:rsidP="00663D17">
      <w:pPr>
        <w:pBdr>
          <w:top w:val="nil"/>
          <w:left w:val="nil"/>
          <w:bottom w:val="nil"/>
          <w:right w:val="nil"/>
          <w:between w:val="nil"/>
        </w:pBdr>
        <w:spacing w:line="360" w:lineRule="auto"/>
        <w:ind w:left="360"/>
        <w:rPr>
          <w:rFonts w:asciiTheme="minorHAnsi" w:eastAsia="Calibri" w:hAnsiTheme="minorHAnsi" w:cs="Calibri"/>
          <w:color w:val="000000"/>
        </w:rPr>
      </w:pPr>
    </w:p>
    <w:p w14:paraId="78A5A277" w14:textId="6F974A95" w:rsidR="007810B4" w:rsidRPr="000C081F" w:rsidRDefault="00E11EB5"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lastRenderedPageBreak/>
        <w:t xml:space="preserve">The courts, in the case of </w:t>
      </w:r>
      <w:r w:rsidRPr="000C081F">
        <w:rPr>
          <w:rFonts w:asciiTheme="minorHAnsi" w:eastAsia="Calibri" w:hAnsiTheme="minorHAnsi" w:cs="Calibri"/>
          <w:i/>
          <w:iCs/>
        </w:rPr>
        <w:t>Ellis</w:t>
      </w:r>
      <w:r w:rsidRPr="000C081F">
        <w:rPr>
          <w:rFonts w:asciiTheme="minorHAnsi" w:eastAsia="Calibri" w:hAnsiTheme="minorHAnsi" w:cs="Calibri"/>
          <w:color w:val="000000"/>
        </w:rPr>
        <w:t>,</w:t>
      </w:r>
      <w:r w:rsidR="007810B4" w:rsidRPr="000C081F">
        <w:rPr>
          <w:rFonts w:asciiTheme="minorHAnsi" w:eastAsia="Calibri" w:hAnsiTheme="minorHAnsi" w:cs="Calibri"/>
          <w:color w:val="000000"/>
        </w:rPr>
        <w:t xml:space="preserve"> </w:t>
      </w:r>
      <w:r w:rsidR="00837595" w:rsidRPr="000C081F">
        <w:rPr>
          <w:rFonts w:asciiTheme="minorHAnsi" w:eastAsia="Calibri" w:hAnsiTheme="minorHAnsi" w:cs="Calibri"/>
          <w:color w:val="000000"/>
        </w:rPr>
        <w:t xml:space="preserve">the courts </w:t>
      </w:r>
      <w:r w:rsidRPr="000C081F">
        <w:rPr>
          <w:rFonts w:asciiTheme="minorHAnsi" w:eastAsia="Calibri" w:hAnsiTheme="minorHAnsi" w:cs="Calibri"/>
          <w:color w:val="000000"/>
        </w:rPr>
        <w:t>found that tikanga Māori</w:t>
      </w:r>
      <w:r w:rsidR="005B294C" w:rsidRPr="000C081F">
        <w:rPr>
          <w:rFonts w:asciiTheme="minorHAnsi" w:eastAsia="Calibri" w:hAnsiTheme="minorHAnsi" w:cs="Calibri"/>
          <w:color w:val="000000"/>
        </w:rPr>
        <w:t xml:space="preserve"> can have universal jurisdiction</w:t>
      </w:r>
      <w:r w:rsidR="00837595" w:rsidRPr="000C081F">
        <w:rPr>
          <w:rFonts w:asciiTheme="minorHAnsi" w:eastAsia="Calibri" w:hAnsiTheme="minorHAnsi" w:cs="Calibri"/>
          <w:color w:val="000000"/>
        </w:rPr>
        <w:t>,</w:t>
      </w:r>
      <w:r w:rsidR="005B294C" w:rsidRPr="000C081F">
        <w:rPr>
          <w:rFonts w:asciiTheme="minorHAnsi" w:eastAsia="Calibri" w:hAnsiTheme="minorHAnsi" w:cs="Calibri"/>
          <w:color w:val="000000"/>
        </w:rPr>
        <w:t xml:space="preserve"> irrespective of whether the case applies </w:t>
      </w:r>
      <w:r w:rsidR="00837595" w:rsidRPr="000C081F">
        <w:rPr>
          <w:rFonts w:asciiTheme="minorHAnsi" w:eastAsia="Calibri" w:hAnsiTheme="minorHAnsi" w:cs="Calibri"/>
          <w:color w:val="000000"/>
        </w:rPr>
        <w:t xml:space="preserve">only </w:t>
      </w:r>
      <w:r w:rsidR="005B294C" w:rsidRPr="000C081F">
        <w:rPr>
          <w:rFonts w:asciiTheme="minorHAnsi" w:eastAsia="Calibri" w:hAnsiTheme="minorHAnsi" w:cs="Calibri"/>
          <w:color w:val="000000"/>
        </w:rPr>
        <w:t>to non-Māori. In other words, it is applied universally as part of state law.</w:t>
      </w:r>
    </w:p>
    <w:p w14:paraId="1F0B97D1" w14:textId="7C40EA6E" w:rsidR="0034701E" w:rsidRPr="000C081F" w:rsidRDefault="0034701E" w:rsidP="00663D17">
      <w:pPr>
        <w:pBdr>
          <w:top w:val="nil"/>
          <w:left w:val="nil"/>
          <w:bottom w:val="nil"/>
          <w:right w:val="nil"/>
          <w:between w:val="nil"/>
        </w:pBdr>
        <w:spacing w:line="360" w:lineRule="auto"/>
        <w:ind w:left="360"/>
        <w:rPr>
          <w:rFonts w:asciiTheme="minorHAnsi" w:eastAsia="Calibri" w:hAnsiTheme="minorHAnsi" w:cs="Calibri"/>
          <w:color w:val="000000"/>
        </w:rPr>
      </w:pPr>
    </w:p>
    <w:p w14:paraId="0556A46C" w14:textId="66DB5A9E" w:rsidR="007810B4" w:rsidRPr="000C081F" w:rsidRDefault="007810B4" w:rsidP="00663D17">
      <w:pPr>
        <w:numPr>
          <w:ilvl w:val="0"/>
          <w:numId w:val="20"/>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Finally, t</w:t>
      </w:r>
      <w:r w:rsidRPr="000C081F">
        <w:rPr>
          <w:rFonts w:asciiTheme="minorHAnsi" w:eastAsia="Calibri" w:hAnsiTheme="minorHAnsi" w:cs="Calibri"/>
          <w:color w:val="000000"/>
        </w:rPr>
        <w:t xml:space="preserve">ikanga </w:t>
      </w:r>
      <w:r w:rsidR="0034701E" w:rsidRPr="000C081F">
        <w:rPr>
          <w:rFonts w:asciiTheme="minorHAnsi" w:eastAsia="Calibri" w:hAnsiTheme="minorHAnsi" w:cs="Calibri"/>
          <w:color w:val="000000"/>
        </w:rPr>
        <w:t xml:space="preserve">no longer </w:t>
      </w:r>
      <w:r w:rsidR="00837595" w:rsidRPr="000C081F">
        <w:rPr>
          <w:rFonts w:asciiTheme="minorHAnsi" w:eastAsia="Calibri" w:hAnsiTheme="minorHAnsi" w:cs="Calibri"/>
          <w:color w:val="000000"/>
        </w:rPr>
        <w:t>must</w:t>
      </w:r>
      <w:r w:rsidRPr="000C081F">
        <w:rPr>
          <w:rFonts w:asciiTheme="minorHAnsi" w:eastAsia="Calibri" w:hAnsiTheme="minorHAnsi" w:cs="Calibri"/>
          <w:color w:val="000000"/>
        </w:rPr>
        <w:t xml:space="preserve"> measure up to any Western</w:t>
      </w:r>
      <w:r w:rsidR="00837595" w:rsidRPr="000C081F">
        <w:rPr>
          <w:rFonts w:asciiTheme="minorHAnsi" w:eastAsia="Calibri" w:hAnsiTheme="minorHAnsi" w:cs="Calibri"/>
          <w:color w:val="000000"/>
        </w:rPr>
        <w:t xml:space="preserve"> or </w:t>
      </w:r>
      <w:r w:rsidRPr="000C081F">
        <w:rPr>
          <w:rFonts w:asciiTheme="minorHAnsi" w:eastAsia="Calibri" w:hAnsiTheme="minorHAnsi" w:cs="Calibri"/>
          <w:color w:val="000000"/>
        </w:rPr>
        <w:t xml:space="preserve">colonial </w:t>
      </w:r>
      <w:r w:rsidR="0034701E" w:rsidRPr="000C081F">
        <w:rPr>
          <w:rFonts w:asciiTheme="minorHAnsi" w:eastAsia="Calibri" w:hAnsiTheme="minorHAnsi" w:cs="Calibri"/>
          <w:color w:val="000000"/>
        </w:rPr>
        <w:t xml:space="preserve">legal </w:t>
      </w:r>
      <w:r w:rsidRPr="000C081F">
        <w:rPr>
          <w:rFonts w:asciiTheme="minorHAnsi" w:eastAsia="Calibri" w:hAnsiTheme="minorHAnsi" w:cs="Calibri"/>
          <w:color w:val="000000"/>
        </w:rPr>
        <w:t>standards to be recognised.</w:t>
      </w:r>
      <w:r w:rsidR="005B294C" w:rsidRPr="000C081F">
        <w:rPr>
          <w:rFonts w:asciiTheme="minorHAnsi" w:eastAsia="Calibri" w:hAnsiTheme="minorHAnsi" w:cs="Calibri"/>
          <w:color w:val="000000"/>
        </w:rPr>
        <w:t xml:space="preserve"> This reflects a change </w:t>
      </w:r>
      <w:r w:rsidR="00837595" w:rsidRPr="000C081F">
        <w:rPr>
          <w:rFonts w:asciiTheme="minorHAnsi" w:eastAsia="Calibri" w:hAnsiTheme="minorHAnsi" w:cs="Calibri"/>
          <w:color w:val="000000"/>
        </w:rPr>
        <w:t xml:space="preserve">from the previous court findings </w:t>
      </w:r>
      <w:r w:rsidR="005B294C" w:rsidRPr="000C081F">
        <w:rPr>
          <w:rFonts w:asciiTheme="minorHAnsi" w:eastAsia="Calibri" w:hAnsiTheme="minorHAnsi" w:cs="Calibri"/>
          <w:color w:val="000000"/>
        </w:rPr>
        <w:t xml:space="preserve">that </w:t>
      </w:r>
      <w:r w:rsidR="0034701E" w:rsidRPr="000C081F">
        <w:rPr>
          <w:rFonts w:asciiTheme="minorHAnsi" w:eastAsia="Calibri" w:hAnsiTheme="minorHAnsi" w:cs="Calibri"/>
          <w:color w:val="000000"/>
        </w:rPr>
        <w:t>tikanga Māori</w:t>
      </w:r>
      <w:r w:rsidR="005B294C" w:rsidRPr="000C081F">
        <w:rPr>
          <w:rFonts w:asciiTheme="minorHAnsi" w:eastAsia="Calibri" w:hAnsiTheme="minorHAnsi" w:cs="Calibri"/>
          <w:color w:val="000000"/>
        </w:rPr>
        <w:t xml:space="preserve"> must be acceptable under common law principles to be recognised. This </w:t>
      </w:r>
      <w:r w:rsidR="0034701E" w:rsidRPr="000C081F">
        <w:rPr>
          <w:rFonts w:asciiTheme="minorHAnsi" w:eastAsia="Calibri" w:hAnsiTheme="minorHAnsi" w:cs="Calibri"/>
          <w:color w:val="000000"/>
        </w:rPr>
        <w:t xml:space="preserve">change was made in the </w:t>
      </w:r>
      <w:r w:rsidR="005B294C" w:rsidRPr="000C081F">
        <w:rPr>
          <w:rFonts w:asciiTheme="minorHAnsi" w:eastAsia="Calibri" w:hAnsiTheme="minorHAnsi" w:cs="Calibri"/>
          <w:color w:val="000000"/>
        </w:rPr>
        <w:t xml:space="preserve">Supreme Court’s decision in </w:t>
      </w:r>
      <w:proofErr w:type="spellStart"/>
      <w:r w:rsidR="0034701E" w:rsidRPr="000C081F">
        <w:rPr>
          <w:rFonts w:asciiTheme="minorHAnsi" w:eastAsia="Calibri" w:hAnsiTheme="minorHAnsi" w:cs="Calibri"/>
          <w:i/>
          <w:iCs/>
          <w:color w:val="000000"/>
        </w:rPr>
        <w:t>Takamore</w:t>
      </w:r>
      <w:proofErr w:type="spellEnd"/>
      <w:r w:rsidR="0034701E" w:rsidRPr="000C081F">
        <w:rPr>
          <w:rFonts w:asciiTheme="minorHAnsi" w:eastAsia="Calibri" w:hAnsiTheme="minorHAnsi" w:cs="Calibri"/>
          <w:color w:val="000000"/>
        </w:rPr>
        <w:t xml:space="preserve">, which overturned the previous rule found in </w:t>
      </w:r>
      <w:proofErr w:type="spellStart"/>
      <w:r w:rsidR="0034701E" w:rsidRPr="000C081F">
        <w:rPr>
          <w:rFonts w:asciiTheme="minorHAnsi" w:eastAsia="Calibri" w:hAnsiTheme="minorHAnsi" w:cs="Calibri"/>
          <w:i/>
          <w:iCs/>
          <w:color w:val="000000"/>
        </w:rPr>
        <w:t>Loasby</w:t>
      </w:r>
      <w:proofErr w:type="spellEnd"/>
      <w:r w:rsidR="0034701E" w:rsidRPr="000C081F">
        <w:rPr>
          <w:rFonts w:asciiTheme="minorHAnsi" w:eastAsia="Calibri" w:hAnsiTheme="minorHAnsi" w:cs="Calibri"/>
          <w:i/>
          <w:iCs/>
          <w:color w:val="000000"/>
        </w:rPr>
        <w:t>.</w:t>
      </w:r>
      <w:r w:rsidR="0034701E" w:rsidRPr="000C081F">
        <w:rPr>
          <w:rStyle w:val="FootnoteReference"/>
          <w:rFonts w:asciiTheme="minorHAnsi" w:eastAsia="Calibri" w:hAnsiTheme="minorHAnsi" w:cs="Calibri"/>
          <w:i/>
          <w:iCs/>
          <w:color w:val="000000"/>
        </w:rPr>
        <w:footnoteReference w:id="39"/>
      </w:r>
    </w:p>
    <w:p w14:paraId="1E1E5EAE" w14:textId="77777777" w:rsidR="0034701E" w:rsidRPr="000C081F" w:rsidRDefault="0034701E" w:rsidP="00837595">
      <w:pPr>
        <w:spacing w:line="360" w:lineRule="auto"/>
        <w:rPr>
          <w:rFonts w:asciiTheme="minorHAnsi" w:eastAsia="Calibri" w:hAnsiTheme="minorHAnsi" w:cs="Calibri"/>
          <w:color w:val="000000"/>
        </w:rPr>
      </w:pPr>
    </w:p>
    <w:p w14:paraId="67EE7A01" w14:textId="6A575711" w:rsidR="007810B4" w:rsidRPr="000C081F" w:rsidRDefault="0034701E"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Nonetheless, the incorporation of tikanga Māori into Aotearoa New Zealand state law still falls short</w:t>
      </w:r>
      <w:r w:rsidR="00655B5F" w:rsidRPr="000C081F">
        <w:rPr>
          <w:rFonts w:asciiTheme="minorHAnsi" w:eastAsia="Calibri" w:hAnsiTheme="minorHAnsi" w:cs="Calibri"/>
          <w:color w:val="000000"/>
        </w:rPr>
        <w:t xml:space="preserve"> of</w:t>
      </w:r>
      <w:r w:rsidRPr="000C081F">
        <w:rPr>
          <w:rFonts w:asciiTheme="minorHAnsi" w:eastAsia="Calibri" w:hAnsiTheme="minorHAnsi" w:cs="Calibri"/>
          <w:color w:val="000000"/>
        </w:rPr>
        <w:t xml:space="preserve"> Māori </w:t>
      </w:r>
      <w:proofErr w:type="spellStart"/>
      <w:r w:rsidRPr="000C081F">
        <w:rPr>
          <w:rFonts w:asciiTheme="minorHAnsi" w:eastAsia="Calibri" w:hAnsiTheme="minorHAnsi" w:cs="Calibri"/>
          <w:color w:val="000000"/>
        </w:rPr>
        <w:t>tino</w:t>
      </w:r>
      <w:proofErr w:type="spellEnd"/>
      <w:r w:rsidRPr="000C081F">
        <w:rPr>
          <w:rFonts w:asciiTheme="minorHAnsi" w:eastAsia="Calibri" w:hAnsiTheme="minorHAnsi" w:cs="Calibri"/>
          <w:color w:val="000000"/>
        </w:rPr>
        <w:t xml:space="preserve"> rangatiratanga or an Indigenous peoples’ right to self-determination.</w:t>
      </w:r>
      <w:r w:rsidR="00655B5F" w:rsidRPr="000C081F">
        <w:rPr>
          <w:rFonts w:asciiTheme="minorHAnsi" w:eastAsia="Calibri" w:hAnsiTheme="minorHAnsi" w:cs="Calibri"/>
          <w:color w:val="000000"/>
        </w:rPr>
        <w:t xml:space="preserve"> Here are some reasons why:</w:t>
      </w:r>
    </w:p>
    <w:p w14:paraId="2DD02BA4" w14:textId="261FC8CD" w:rsidR="00655B5F" w:rsidRPr="000C081F" w:rsidRDefault="00655B5F" w:rsidP="00663D17">
      <w:pPr>
        <w:pBdr>
          <w:top w:val="nil"/>
          <w:left w:val="nil"/>
          <w:bottom w:val="nil"/>
          <w:right w:val="nil"/>
          <w:between w:val="nil"/>
        </w:pBdr>
        <w:spacing w:line="360" w:lineRule="auto"/>
        <w:rPr>
          <w:rFonts w:asciiTheme="minorHAnsi" w:eastAsia="Calibri" w:hAnsiTheme="minorHAnsi" w:cs="Calibri"/>
          <w:color w:val="000000"/>
        </w:rPr>
      </w:pPr>
    </w:p>
    <w:p w14:paraId="3EBEA877" w14:textId="4DC2E8DE" w:rsidR="00655B5F" w:rsidRPr="000C081F" w:rsidRDefault="00655B5F" w:rsidP="00663D17">
      <w:pPr>
        <w:pStyle w:val="ListParagraph"/>
        <w:numPr>
          <w:ilvl w:val="0"/>
          <w:numId w:val="2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A primary concern is that there is an implicit assumption that recognition by state law – by state courts and state legislature – is necessary for tikanga to apply in these territories. It suggests that state law sits higher than tikanga in the hierarchy of legal systems applicable here</w:t>
      </w:r>
      <w:r w:rsidR="000A5499" w:rsidRPr="000C081F">
        <w:rPr>
          <w:rFonts w:asciiTheme="minorHAnsi" w:eastAsia="Calibri" w:hAnsiTheme="minorHAnsi" w:cs="Calibri"/>
          <w:color w:val="000000"/>
        </w:rPr>
        <w:t xml:space="preserve">, contrary to hapū </w:t>
      </w:r>
      <w:proofErr w:type="spellStart"/>
      <w:r w:rsidR="000A5499" w:rsidRPr="000C081F">
        <w:rPr>
          <w:rFonts w:asciiTheme="minorHAnsi" w:eastAsia="Calibri" w:hAnsiTheme="minorHAnsi" w:cs="Calibri"/>
          <w:color w:val="000000"/>
        </w:rPr>
        <w:t>tino</w:t>
      </w:r>
      <w:proofErr w:type="spellEnd"/>
      <w:r w:rsidR="000A5499" w:rsidRPr="000C081F">
        <w:rPr>
          <w:rFonts w:asciiTheme="minorHAnsi" w:eastAsia="Calibri" w:hAnsiTheme="minorHAnsi" w:cs="Calibri"/>
          <w:color w:val="000000"/>
        </w:rPr>
        <w:t xml:space="preserve"> rangatiratanga.</w:t>
      </w:r>
    </w:p>
    <w:p w14:paraId="79D4BCEE" w14:textId="69C899B0" w:rsidR="00FA0F49" w:rsidRPr="000C081F" w:rsidRDefault="00FA0F49" w:rsidP="00663D17">
      <w:pPr>
        <w:pBdr>
          <w:top w:val="nil"/>
          <w:left w:val="nil"/>
          <w:bottom w:val="nil"/>
          <w:right w:val="nil"/>
          <w:between w:val="nil"/>
        </w:pBdr>
        <w:spacing w:line="360" w:lineRule="auto"/>
        <w:rPr>
          <w:rFonts w:asciiTheme="minorHAnsi" w:eastAsia="Calibri" w:hAnsiTheme="minorHAnsi" w:cs="Calibri"/>
          <w:color w:val="000000"/>
        </w:rPr>
      </w:pPr>
    </w:p>
    <w:p w14:paraId="27591068" w14:textId="484CECCD" w:rsidR="00FA0F49" w:rsidRPr="000C081F" w:rsidRDefault="00FA0F49" w:rsidP="00663D17">
      <w:pPr>
        <w:pStyle w:val="ListParagraph"/>
        <w:numPr>
          <w:ilvl w:val="0"/>
          <w:numId w:val="2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In a similar vein, tikanga Māori will not have force where it conflicts with statute law such as the Crimes Act </w:t>
      </w:r>
      <w:r w:rsidR="00837595" w:rsidRPr="000C081F">
        <w:rPr>
          <w:rFonts w:asciiTheme="minorHAnsi" w:eastAsia="Calibri" w:hAnsiTheme="minorHAnsi" w:cs="Calibri"/>
          <w:color w:val="000000"/>
        </w:rPr>
        <w:t>1961</w:t>
      </w:r>
      <w:r w:rsidRPr="000C081F">
        <w:rPr>
          <w:rFonts w:asciiTheme="minorHAnsi" w:eastAsia="Calibri" w:hAnsiTheme="minorHAnsi" w:cs="Calibri"/>
          <w:color w:val="000000"/>
        </w:rPr>
        <w:t>.</w:t>
      </w:r>
    </w:p>
    <w:p w14:paraId="3948E99D" w14:textId="3B58C620" w:rsidR="00655B5F" w:rsidRPr="000C081F" w:rsidRDefault="00655B5F" w:rsidP="00663D17">
      <w:pPr>
        <w:pBdr>
          <w:top w:val="nil"/>
          <w:left w:val="nil"/>
          <w:bottom w:val="nil"/>
          <w:right w:val="nil"/>
          <w:between w:val="nil"/>
        </w:pBdr>
        <w:spacing w:line="360" w:lineRule="auto"/>
        <w:rPr>
          <w:rFonts w:asciiTheme="minorHAnsi" w:eastAsia="Calibri" w:hAnsiTheme="minorHAnsi" w:cs="Calibri"/>
          <w:color w:val="000000"/>
        </w:rPr>
      </w:pPr>
    </w:p>
    <w:p w14:paraId="17BF7DAF" w14:textId="15EF1114" w:rsidR="00655B5F" w:rsidRPr="000C081F" w:rsidRDefault="00655B5F" w:rsidP="00663D17">
      <w:pPr>
        <w:pStyle w:val="ListParagraph"/>
        <w:numPr>
          <w:ilvl w:val="0"/>
          <w:numId w:val="2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Some </w:t>
      </w:r>
      <w:proofErr w:type="gramStart"/>
      <w:r w:rsidRPr="000C081F">
        <w:rPr>
          <w:rFonts w:asciiTheme="minorHAnsi" w:eastAsia="Calibri" w:hAnsiTheme="minorHAnsi" w:cs="Calibri"/>
          <w:color w:val="000000"/>
        </w:rPr>
        <w:t>iwi</w:t>
      </w:r>
      <w:proofErr w:type="gramEnd"/>
      <w:r w:rsidRPr="000C081F">
        <w:rPr>
          <w:rFonts w:asciiTheme="minorHAnsi" w:eastAsia="Calibri" w:hAnsiTheme="minorHAnsi" w:cs="Calibri"/>
          <w:color w:val="000000"/>
        </w:rPr>
        <w:t xml:space="preserve">, hapū and Māori individuals seem to be buying into the state system as a venue to resolve intra-iwi, hapū and Māori disputes which should ordinarily be resolved outside of the state and its legal system. This is true in the </w:t>
      </w:r>
      <w:r w:rsidRPr="000C081F">
        <w:rPr>
          <w:rFonts w:asciiTheme="minorHAnsi" w:eastAsia="Calibri" w:hAnsiTheme="minorHAnsi" w:cs="Calibri"/>
          <w:i/>
          <w:iCs/>
          <w:color w:val="000000"/>
        </w:rPr>
        <w:t xml:space="preserve">Ngāti </w:t>
      </w:r>
      <w:proofErr w:type="spellStart"/>
      <w:r w:rsidRPr="000C081F">
        <w:rPr>
          <w:rFonts w:asciiTheme="minorHAnsi" w:eastAsia="Calibri" w:hAnsiTheme="minorHAnsi" w:cs="Calibri"/>
          <w:i/>
          <w:iCs/>
          <w:color w:val="000000"/>
        </w:rPr>
        <w:t>Whatua</w:t>
      </w:r>
      <w:proofErr w:type="spellEnd"/>
      <w:r w:rsidRPr="000C081F">
        <w:rPr>
          <w:rFonts w:asciiTheme="minorHAnsi" w:eastAsia="Calibri" w:hAnsiTheme="minorHAnsi" w:cs="Calibri"/>
          <w:color w:val="000000"/>
        </w:rPr>
        <w:t xml:space="preserve"> case. </w:t>
      </w:r>
      <w:r w:rsidR="000A5499" w:rsidRPr="000C081F">
        <w:rPr>
          <w:rFonts w:asciiTheme="minorHAnsi" w:eastAsia="Calibri" w:hAnsiTheme="minorHAnsi" w:cs="Calibri"/>
          <w:color w:val="000000"/>
        </w:rPr>
        <w:t>This undermines self-determination.</w:t>
      </w:r>
    </w:p>
    <w:p w14:paraId="185A7393" w14:textId="1543096B" w:rsidR="000A5499" w:rsidRPr="000C081F" w:rsidRDefault="000A5499" w:rsidP="00105A5E">
      <w:pPr>
        <w:spacing w:line="360" w:lineRule="auto"/>
        <w:rPr>
          <w:rFonts w:asciiTheme="minorHAnsi" w:eastAsia="Calibri" w:hAnsiTheme="minorHAnsi" w:cs="Calibri"/>
          <w:color w:val="000000"/>
        </w:rPr>
      </w:pPr>
    </w:p>
    <w:p w14:paraId="2B4F32BE" w14:textId="1FC52057" w:rsidR="000A5499" w:rsidRPr="000C081F" w:rsidRDefault="000E1C76" w:rsidP="00663D17">
      <w:pPr>
        <w:pStyle w:val="ListParagraph"/>
        <w:numPr>
          <w:ilvl w:val="0"/>
          <w:numId w:val="2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While the courts have intimated that they have no authority to determine tikanga Māori, in effect they do judg</w:t>
      </w:r>
      <w:r w:rsidR="00565558" w:rsidRPr="000C081F">
        <w:rPr>
          <w:rFonts w:asciiTheme="minorHAnsi" w:eastAsia="Calibri" w:hAnsiTheme="minorHAnsi" w:cs="Calibri"/>
          <w:color w:val="000000"/>
        </w:rPr>
        <w:t xml:space="preserve">e </w:t>
      </w:r>
      <w:r w:rsidRPr="000C081F">
        <w:rPr>
          <w:rFonts w:asciiTheme="minorHAnsi" w:eastAsia="Calibri" w:hAnsiTheme="minorHAnsi" w:cs="Calibri"/>
          <w:color w:val="000000"/>
        </w:rPr>
        <w:t xml:space="preserve">the tikanga of a particular iwi or hapū based on evidence presented. This blurs the lines somewhat </w:t>
      </w:r>
      <w:r w:rsidR="00565558" w:rsidRPr="000C081F">
        <w:rPr>
          <w:rFonts w:asciiTheme="minorHAnsi" w:eastAsia="Calibri" w:hAnsiTheme="minorHAnsi" w:cs="Calibri"/>
          <w:color w:val="000000"/>
        </w:rPr>
        <w:t xml:space="preserve">as judges </w:t>
      </w:r>
      <w:r w:rsidRPr="000C081F">
        <w:rPr>
          <w:rFonts w:asciiTheme="minorHAnsi" w:eastAsia="Calibri" w:hAnsiTheme="minorHAnsi" w:cs="Calibri"/>
          <w:color w:val="000000"/>
        </w:rPr>
        <w:t xml:space="preserve">are certainly involved </w:t>
      </w:r>
      <w:r w:rsidRPr="000C081F">
        <w:rPr>
          <w:rFonts w:asciiTheme="minorHAnsi" w:eastAsia="Calibri" w:hAnsiTheme="minorHAnsi" w:cs="Calibri"/>
          <w:color w:val="000000"/>
        </w:rPr>
        <w:lastRenderedPageBreak/>
        <w:t>in determining tikanga for the purposes of its recognition by common law and, when in relation to a statutory provision, recognition under legislation.</w:t>
      </w:r>
    </w:p>
    <w:p w14:paraId="72BB913D" w14:textId="66F70A2E" w:rsidR="00FA0F49" w:rsidRPr="000C081F" w:rsidRDefault="00FA0F49" w:rsidP="00105A5E">
      <w:pPr>
        <w:spacing w:line="360" w:lineRule="auto"/>
        <w:rPr>
          <w:rFonts w:asciiTheme="minorHAnsi" w:eastAsia="Calibri" w:hAnsiTheme="minorHAnsi" w:cs="Calibri"/>
          <w:color w:val="000000"/>
        </w:rPr>
      </w:pPr>
    </w:p>
    <w:p w14:paraId="54F91586" w14:textId="4A8B4C64" w:rsidR="00FA0F49" w:rsidRPr="000C081F" w:rsidRDefault="00FA0F49" w:rsidP="00663D17">
      <w:pPr>
        <w:pStyle w:val="ListParagraph"/>
        <w:numPr>
          <w:ilvl w:val="0"/>
          <w:numId w:val="27"/>
        </w:num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Tikanga Māori often competes with other factors when judges determine the outcome of a dispute. In </w:t>
      </w:r>
      <w:proofErr w:type="spellStart"/>
      <w:r w:rsidRPr="000C081F">
        <w:rPr>
          <w:rFonts w:asciiTheme="minorHAnsi" w:eastAsia="Calibri" w:hAnsiTheme="minorHAnsi" w:cs="Calibri"/>
          <w:i/>
          <w:iCs/>
          <w:color w:val="000000"/>
        </w:rPr>
        <w:t>Takamore</w:t>
      </w:r>
      <w:proofErr w:type="spellEnd"/>
      <w:r w:rsidRPr="000C081F">
        <w:rPr>
          <w:rFonts w:asciiTheme="minorHAnsi" w:eastAsia="Calibri" w:hAnsiTheme="minorHAnsi" w:cs="Calibri"/>
          <w:color w:val="000000"/>
        </w:rPr>
        <w:t>, for example, the relevant tikanga rule was outweighed by other factors.</w:t>
      </w:r>
    </w:p>
    <w:p w14:paraId="2B0409C2" w14:textId="77777777" w:rsidR="007810B4" w:rsidRPr="000C081F" w:rsidRDefault="007810B4" w:rsidP="00663D17">
      <w:pPr>
        <w:spacing w:line="360" w:lineRule="auto"/>
        <w:rPr>
          <w:rFonts w:asciiTheme="minorHAnsi" w:eastAsia="Calibri" w:hAnsiTheme="minorHAnsi" w:cs="Calibri"/>
          <w:color w:val="000000"/>
        </w:rPr>
      </w:pPr>
    </w:p>
    <w:p w14:paraId="54F7179D" w14:textId="68765C8E" w:rsidR="007810B4" w:rsidRPr="000C081F" w:rsidRDefault="00663D17" w:rsidP="000C081F">
      <w:pPr>
        <w:pStyle w:val="Heading2"/>
        <w:rPr>
          <w:color w:val="000000"/>
        </w:rPr>
      </w:pPr>
      <w:r w:rsidRPr="000C081F">
        <w:t xml:space="preserve">A </w:t>
      </w:r>
      <w:r w:rsidR="00FA0F49" w:rsidRPr="000C081F">
        <w:t xml:space="preserve">Some </w:t>
      </w:r>
      <w:r w:rsidRPr="000C081F">
        <w:t>R</w:t>
      </w:r>
      <w:r w:rsidR="00FA0F49" w:rsidRPr="000C081F">
        <w:t>eflections</w:t>
      </w:r>
    </w:p>
    <w:p w14:paraId="2651CE75" w14:textId="77777777" w:rsidR="007810B4" w:rsidRPr="000C081F" w:rsidRDefault="007810B4" w:rsidP="00663D17">
      <w:pPr>
        <w:spacing w:line="360" w:lineRule="auto"/>
        <w:rPr>
          <w:rFonts w:asciiTheme="minorHAnsi" w:eastAsia="Calibri" w:hAnsiTheme="minorHAnsi" w:cs="Calibri"/>
          <w:color w:val="000000"/>
        </w:rPr>
      </w:pPr>
    </w:p>
    <w:p w14:paraId="742B8219" w14:textId="77777777" w:rsidR="00FA0F49" w:rsidRPr="000C081F" w:rsidRDefault="00FA0F49"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color w:val="000000"/>
        </w:rPr>
        <w:t xml:space="preserve">Even with the increasing incorporation of tikanga Māori into state law, there is very limited opportunity for Māori to exercise their self-determination.  </w:t>
      </w:r>
    </w:p>
    <w:p w14:paraId="3B720F23" w14:textId="77777777" w:rsidR="00FA0F49" w:rsidRPr="000C081F" w:rsidRDefault="00FA0F49" w:rsidP="00663D17">
      <w:pPr>
        <w:pBdr>
          <w:top w:val="nil"/>
          <w:left w:val="nil"/>
          <w:bottom w:val="nil"/>
          <w:right w:val="nil"/>
          <w:between w:val="nil"/>
        </w:pBdr>
        <w:spacing w:line="360" w:lineRule="auto"/>
        <w:rPr>
          <w:rFonts w:asciiTheme="minorHAnsi" w:eastAsia="Calibri" w:hAnsiTheme="minorHAnsi" w:cs="Calibri"/>
          <w:color w:val="000000"/>
        </w:rPr>
      </w:pPr>
    </w:p>
    <w:p w14:paraId="52D41CE9" w14:textId="2A0E27F0" w:rsidR="007F1D91" w:rsidRPr="000C081F" w:rsidRDefault="00565558" w:rsidP="00663D17">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color w:val="000000"/>
        </w:rPr>
        <w:t xml:space="preserve">I discussed above models </w:t>
      </w:r>
      <w:r w:rsidR="00FA0F49" w:rsidRPr="000C081F">
        <w:rPr>
          <w:rFonts w:asciiTheme="minorHAnsi" w:eastAsia="Calibri" w:hAnsiTheme="minorHAnsi" w:cs="Calibri"/>
          <w:color w:val="000000"/>
        </w:rPr>
        <w:t xml:space="preserve">including the </w:t>
      </w:r>
      <w:r w:rsidR="007810B4" w:rsidRPr="000C081F">
        <w:rPr>
          <w:rFonts w:asciiTheme="minorHAnsi" w:eastAsia="Calibri" w:hAnsiTheme="minorHAnsi" w:cs="Calibri"/>
          <w:color w:val="000000"/>
        </w:rPr>
        <w:t xml:space="preserve">recognition of </w:t>
      </w:r>
      <w:r w:rsidR="00FA0F49" w:rsidRPr="000C081F">
        <w:rPr>
          <w:rFonts w:asciiTheme="minorHAnsi" w:eastAsia="Calibri" w:hAnsiTheme="minorHAnsi" w:cs="Calibri"/>
          <w:color w:val="000000"/>
        </w:rPr>
        <w:t>American Indian</w:t>
      </w:r>
      <w:r w:rsidR="007810B4" w:rsidRPr="000C081F">
        <w:rPr>
          <w:rFonts w:asciiTheme="minorHAnsi" w:eastAsia="Calibri" w:hAnsiTheme="minorHAnsi" w:cs="Calibri"/>
          <w:color w:val="000000"/>
        </w:rPr>
        <w:t xml:space="preserve"> inherent sovereignty in the U</w:t>
      </w:r>
      <w:r w:rsidR="00E33EDD" w:rsidRPr="000C081F">
        <w:rPr>
          <w:rFonts w:asciiTheme="minorHAnsi" w:eastAsia="Calibri" w:hAnsiTheme="minorHAnsi" w:cs="Calibri"/>
          <w:color w:val="000000"/>
        </w:rPr>
        <w:t xml:space="preserve">nited </w:t>
      </w:r>
      <w:r w:rsidR="007810B4" w:rsidRPr="000C081F">
        <w:rPr>
          <w:rFonts w:asciiTheme="minorHAnsi" w:eastAsia="Calibri" w:hAnsiTheme="minorHAnsi" w:cs="Calibri"/>
          <w:color w:val="000000"/>
        </w:rPr>
        <w:t>S</w:t>
      </w:r>
      <w:r w:rsidR="00E33EDD" w:rsidRPr="000C081F">
        <w:rPr>
          <w:rFonts w:asciiTheme="minorHAnsi" w:eastAsia="Calibri" w:hAnsiTheme="minorHAnsi" w:cs="Calibri"/>
          <w:color w:val="000000"/>
        </w:rPr>
        <w:t>tates</w:t>
      </w:r>
      <w:r w:rsidR="007810B4" w:rsidRPr="000C081F">
        <w:rPr>
          <w:rFonts w:asciiTheme="minorHAnsi" w:eastAsia="Calibri" w:hAnsiTheme="minorHAnsi" w:cs="Calibri"/>
          <w:color w:val="000000"/>
        </w:rPr>
        <w:t xml:space="preserve">, </w:t>
      </w:r>
      <w:r w:rsidR="00E851B3" w:rsidRPr="000C081F">
        <w:rPr>
          <w:rFonts w:asciiTheme="minorHAnsi" w:eastAsia="Calibri" w:hAnsiTheme="minorHAnsi" w:cs="Calibri"/>
          <w:color w:val="000000"/>
        </w:rPr>
        <w:t xml:space="preserve">increasing scope for First Nations to exercise legal jurisdiction </w:t>
      </w:r>
      <w:r w:rsidR="007810B4" w:rsidRPr="000C081F">
        <w:rPr>
          <w:rFonts w:asciiTheme="minorHAnsi" w:eastAsia="Calibri" w:hAnsiTheme="minorHAnsi" w:cs="Calibri"/>
          <w:color w:val="000000"/>
        </w:rPr>
        <w:t>in Canada</w:t>
      </w:r>
      <w:r w:rsidR="00655B5F" w:rsidRPr="000C081F">
        <w:rPr>
          <w:rFonts w:asciiTheme="minorHAnsi" w:eastAsia="Calibri" w:hAnsiTheme="minorHAnsi" w:cs="Calibri"/>
        </w:rPr>
        <w:t xml:space="preserve"> and the</w:t>
      </w:r>
      <w:r w:rsidR="00E851B3" w:rsidRPr="000C081F">
        <w:rPr>
          <w:rFonts w:asciiTheme="minorHAnsi" w:eastAsia="Calibri" w:hAnsiTheme="minorHAnsi" w:cs="Calibri"/>
        </w:rPr>
        <w:t xml:space="preserve"> role</w:t>
      </w:r>
      <w:r w:rsidR="00655B5F" w:rsidRPr="000C081F">
        <w:rPr>
          <w:rFonts w:asciiTheme="minorHAnsi" w:eastAsia="Calibri" w:hAnsiTheme="minorHAnsi" w:cs="Calibri"/>
        </w:rPr>
        <w:t xml:space="preserve"> Saami Parliaments in Norway, Sweden and Finland</w:t>
      </w:r>
      <w:r w:rsidR="00E851B3" w:rsidRPr="000C081F">
        <w:rPr>
          <w:rFonts w:asciiTheme="minorHAnsi" w:eastAsia="Calibri" w:hAnsiTheme="minorHAnsi" w:cs="Calibri"/>
        </w:rPr>
        <w:t xml:space="preserve"> in national law and politics</w:t>
      </w:r>
      <w:r w:rsidRPr="000C081F">
        <w:rPr>
          <w:rFonts w:asciiTheme="minorHAnsi" w:eastAsia="Calibri" w:hAnsiTheme="minorHAnsi" w:cs="Calibri"/>
        </w:rPr>
        <w:t>.</w:t>
      </w:r>
      <w:r w:rsidR="007810B4" w:rsidRPr="000C081F">
        <w:rPr>
          <w:rFonts w:asciiTheme="minorHAnsi" w:eastAsia="Calibri" w:hAnsiTheme="minorHAnsi" w:cs="Calibri"/>
        </w:rPr>
        <w:t xml:space="preserve"> </w:t>
      </w:r>
      <w:r w:rsidRPr="000C081F">
        <w:rPr>
          <w:rFonts w:asciiTheme="minorHAnsi" w:eastAsia="Calibri" w:hAnsiTheme="minorHAnsi" w:cs="Calibri"/>
        </w:rPr>
        <w:t xml:space="preserve">These models </w:t>
      </w:r>
      <w:r w:rsidR="00E851B3" w:rsidRPr="000C081F">
        <w:rPr>
          <w:rFonts w:asciiTheme="minorHAnsi" w:eastAsia="Calibri" w:hAnsiTheme="minorHAnsi" w:cs="Calibri"/>
          <w:color w:val="000000"/>
        </w:rPr>
        <w:t xml:space="preserve">are </w:t>
      </w:r>
      <w:r w:rsidRPr="000C081F">
        <w:rPr>
          <w:rFonts w:asciiTheme="minorHAnsi" w:eastAsia="Calibri" w:hAnsiTheme="minorHAnsi" w:cs="Calibri"/>
          <w:color w:val="000000"/>
        </w:rPr>
        <w:t xml:space="preserve">still </w:t>
      </w:r>
      <w:r w:rsidR="007810B4" w:rsidRPr="000C081F">
        <w:rPr>
          <w:rFonts w:asciiTheme="minorHAnsi" w:eastAsia="Calibri" w:hAnsiTheme="minorHAnsi" w:cs="Calibri"/>
          <w:color w:val="000000"/>
        </w:rPr>
        <w:t xml:space="preserve">suboptimal </w:t>
      </w:r>
      <w:r w:rsidR="00FA0F49" w:rsidRPr="000C081F">
        <w:rPr>
          <w:rFonts w:asciiTheme="minorHAnsi" w:eastAsia="Calibri" w:hAnsiTheme="minorHAnsi" w:cs="Calibri"/>
          <w:color w:val="000000"/>
        </w:rPr>
        <w:t>when assessed against</w:t>
      </w:r>
      <w:r w:rsidR="00913287" w:rsidRPr="000C081F">
        <w:rPr>
          <w:rFonts w:asciiTheme="minorHAnsi" w:eastAsia="Calibri" w:hAnsiTheme="minorHAnsi" w:cs="Calibri"/>
          <w:color w:val="000000"/>
        </w:rPr>
        <w:t xml:space="preserve"> international </w:t>
      </w:r>
      <w:r w:rsidR="00FA0F49" w:rsidRPr="000C081F">
        <w:rPr>
          <w:rFonts w:asciiTheme="minorHAnsi" w:eastAsia="Calibri" w:hAnsiTheme="minorHAnsi" w:cs="Calibri"/>
          <w:color w:val="000000"/>
        </w:rPr>
        <w:t xml:space="preserve">law </w:t>
      </w:r>
      <w:r w:rsidR="00913287" w:rsidRPr="000C081F">
        <w:rPr>
          <w:rFonts w:asciiTheme="minorHAnsi" w:eastAsia="Calibri" w:hAnsiTheme="minorHAnsi" w:cs="Calibri"/>
          <w:color w:val="000000"/>
        </w:rPr>
        <w:t xml:space="preserve">under the </w:t>
      </w:r>
      <w:r w:rsidRPr="000C081F">
        <w:rPr>
          <w:rFonts w:asciiTheme="minorHAnsi" w:eastAsia="Calibri" w:hAnsiTheme="minorHAnsi" w:cs="Calibri"/>
          <w:color w:val="000000"/>
        </w:rPr>
        <w:t xml:space="preserve">United Nations </w:t>
      </w:r>
      <w:r w:rsidR="00913287" w:rsidRPr="000C081F">
        <w:rPr>
          <w:rFonts w:asciiTheme="minorHAnsi" w:eastAsia="Calibri" w:hAnsiTheme="minorHAnsi" w:cs="Calibri"/>
          <w:color w:val="000000"/>
        </w:rPr>
        <w:t xml:space="preserve">Declaration </w:t>
      </w:r>
      <w:r w:rsidRPr="000C081F">
        <w:rPr>
          <w:rFonts w:asciiTheme="minorHAnsi" w:eastAsia="Calibri" w:hAnsiTheme="minorHAnsi" w:cs="Calibri"/>
          <w:color w:val="000000"/>
        </w:rPr>
        <w:t xml:space="preserve">on Indigenous Peoples </w:t>
      </w:r>
      <w:r w:rsidR="00913287" w:rsidRPr="000C081F">
        <w:rPr>
          <w:rFonts w:asciiTheme="minorHAnsi" w:eastAsia="Calibri" w:hAnsiTheme="minorHAnsi" w:cs="Calibri"/>
          <w:color w:val="000000"/>
        </w:rPr>
        <w:t>and relevant reports by international human rights bodies.</w:t>
      </w:r>
      <w:r w:rsidR="00913287" w:rsidRPr="000C081F">
        <w:rPr>
          <w:rStyle w:val="FootnoteReference"/>
          <w:rFonts w:asciiTheme="minorHAnsi" w:eastAsia="Calibri" w:hAnsiTheme="minorHAnsi" w:cs="Calibri"/>
          <w:color w:val="000000"/>
        </w:rPr>
        <w:footnoteReference w:id="40"/>
      </w:r>
      <w:r w:rsidR="00E851B3" w:rsidRPr="000C081F">
        <w:rPr>
          <w:rFonts w:asciiTheme="minorHAnsi" w:eastAsia="Calibri" w:hAnsiTheme="minorHAnsi" w:cs="Calibri"/>
        </w:rPr>
        <w:t xml:space="preserve"> </w:t>
      </w:r>
      <w:r w:rsidR="007F1D91" w:rsidRPr="000C081F">
        <w:rPr>
          <w:rFonts w:asciiTheme="minorHAnsi" w:eastAsia="Calibri" w:hAnsiTheme="minorHAnsi" w:cs="Calibri"/>
        </w:rPr>
        <w:t xml:space="preserve">This is because, despite significant scope for self-government and autonomy, </w:t>
      </w:r>
      <w:r w:rsidRPr="000C081F">
        <w:rPr>
          <w:rFonts w:asciiTheme="minorHAnsi" w:eastAsia="Calibri" w:hAnsiTheme="minorHAnsi" w:cs="Calibri"/>
        </w:rPr>
        <w:t xml:space="preserve">Indigenous self-determination </w:t>
      </w:r>
      <w:r w:rsidR="007F1D91" w:rsidRPr="000C081F">
        <w:rPr>
          <w:rFonts w:asciiTheme="minorHAnsi" w:eastAsia="Calibri" w:hAnsiTheme="minorHAnsi" w:cs="Calibri"/>
        </w:rPr>
        <w:t xml:space="preserve">is always subject to the state’s overall claim to jurisdiction over the state’s territory. </w:t>
      </w:r>
    </w:p>
    <w:p w14:paraId="34F60638" w14:textId="77777777" w:rsidR="00565558" w:rsidRPr="000C081F" w:rsidRDefault="00565558" w:rsidP="00663D17">
      <w:pPr>
        <w:pBdr>
          <w:top w:val="nil"/>
          <w:left w:val="nil"/>
          <w:bottom w:val="nil"/>
          <w:right w:val="nil"/>
          <w:between w:val="nil"/>
        </w:pBdr>
        <w:spacing w:line="360" w:lineRule="auto"/>
        <w:rPr>
          <w:rFonts w:asciiTheme="minorHAnsi" w:eastAsia="Calibri" w:hAnsiTheme="minorHAnsi" w:cs="Calibri"/>
        </w:rPr>
      </w:pPr>
    </w:p>
    <w:p w14:paraId="65F8A2EA" w14:textId="4B3BCFC7" w:rsidR="007810B4" w:rsidRPr="000C081F" w:rsidRDefault="007F1D91" w:rsidP="00663D17">
      <w:pPr>
        <w:pBdr>
          <w:top w:val="nil"/>
          <w:left w:val="nil"/>
          <w:bottom w:val="nil"/>
          <w:right w:val="nil"/>
          <w:between w:val="nil"/>
        </w:pBdr>
        <w:spacing w:line="360" w:lineRule="auto"/>
        <w:rPr>
          <w:rFonts w:asciiTheme="minorHAnsi" w:eastAsia="Calibri" w:hAnsiTheme="minorHAnsi" w:cs="Calibri"/>
          <w:color w:val="000000"/>
        </w:rPr>
      </w:pPr>
      <w:r w:rsidRPr="000C081F">
        <w:rPr>
          <w:rFonts w:asciiTheme="minorHAnsi" w:eastAsia="Calibri" w:hAnsiTheme="minorHAnsi" w:cs="Calibri"/>
        </w:rPr>
        <w:t>However, in my view, the territorial model is qualitatively more effective in realising self-determination than the incorporation model</w:t>
      </w:r>
      <w:r w:rsidR="002F27CD" w:rsidRPr="000C081F">
        <w:rPr>
          <w:rFonts w:asciiTheme="minorHAnsi" w:eastAsia="Calibri" w:hAnsiTheme="minorHAnsi" w:cs="Calibri"/>
        </w:rPr>
        <w:t>. This is</w:t>
      </w:r>
      <w:r w:rsidRPr="000C081F">
        <w:rPr>
          <w:rFonts w:asciiTheme="minorHAnsi" w:eastAsia="Calibri" w:hAnsiTheme="minorHAnsi" w:cs="Calibri"/>
        </w:rPr>
        <w:t xml:space="preserve"> because its authority does not come from its application as state law</w:t>
      </w:r>
      <w:r w:rsidR="002F27CD" w:rsidRPr="000C081F">
        <w:rPr>
          <w:rFonts w:asciiTheme="minorHAnsi" w:eastAsia="Calibri" w:hAnsiTheme="minorHAnsi" w:cs="Calibri"/>
        </w:rPr>
        <w:t>,</w:t>
      </w:r>
      <w:r w:rsidRPr="000C081F">
        <w:rPr>
          <w:rFonts w:asciiTheme="minorHAnsi" w:eastAsia="Calibri" w:hAnsiTheme="minorHAnsi" w:cs="Calibri"/>
        </w:rPr>
        <w:t xml:space="preserve"> but as an independent source of law with, in some places, exclusive authority.</w:t>
      </w:r>
      <w:r w:rsidR="002F27CD" w:rsidRPr="000C081F">
        <w:rPr>
          <w:rFonts w:asciiTheme="minorHAnsi" w:eastAsia="Calibri" w:hAnsiTheme="minorHAnsi" w:cs="Calibri"/>
        </w:rPr>
        <w:t xml:space="preserve"> </w:t>
      </w:r>
      <w:r w:rsidRPr="000C081F">
        <w:rPr>
          <w:rFonts w:asciiTheme="minorHAnsi" w:eastAsia="Calibri" w:hAnsiTheme="minorHAnsi" w:cs="Calibri"/>
          <w:color w:val="000000"/>
        </w:rPr>
        <w:t>At the</w:t>
      </w:r>
      <w:r w:rsidR="007810B4" w:rsidRPr="000C081F">
        <w:rPr>
          <w:rFonts w:asciiTheme="minorHAnsi" w:eastAsia="Calibri" w:hAnsiTheme="minorHAnsi" w:cs="Calibri"/>
          <w:color w:val="000000"/>
        </w:rPr>
        <w:t xml:space="preserve"> same time, </w:t>
      </w:r>
      <w:r w:rsidRPr="000C081F">
        <w:rPr>
          <w:rFonts w:asciiTheme="minorHAnsi" w:eastAsia="Calibri" w:hAnsiTheme="minorHAnsi" w:cs="Calibri"/>
          <w:color w:val="000000"/>
        </w:rPr>
        <w:t xml:space="preserve">the incorporation of tikanga Māori in Aotearoa New Zealand state law is </w:t>
      </w:r>
      <w:r w:rsidR="0005054E" w:rsidRPr="000C081F">
        <w:rPr>
          <w:rFonts w:asciiTheme="minorHAnsi" w:eastAsia="Calibri" w:hAnsiTheme="minorHAnsi" w:cs="Calibri"/>
          <w:color w:val="000000"/>
        </w:rPr>
        <w:t xml:space="preserve">a profound development because it upsets the Westminster attachment to ultimate and absolute state authority. Also, courts have </w:t>
      </w:r>
      <w:r w:rsidR="0005054E" w:rsidRPr="000C081F">
        <w:rPr>
          <w:rFonts w:asciiTheme="minorHAnsi" w:eastAsia="Calibri" w:hAnsiTheme="minorHAnsi" w:cs="Calibri"/>
          <w:color w:val="000000"/>
        </w:rPr>
        <w:lastRenderedPageBreak/>
        <w:t>made it clear that tikanga Māori</w:t>
      </w:r>
      <w:r w:rsidR="007810B4" w:rsidRPr="000C081F">
        <w:rPr>
          <w:rFonts w:asciiTheme="minorHAnsi" w:eastAsia="Calibri" w:hAnsiTheme="minorHAnsi" w:cs="Calibri"/>
          <w:color w:val="000000"/>
        </w:rPr>
        <w:t xml:space="preserve"> retains its legal character derived from the independent authority of tikanga Māori.  </w:t>
      </w:r>
    </w:p>
    <w:p w14:paraId="6896635C" w14:textId="77777777" w:rsidR="0005054E" w:rsidRPr="000C081F" w:rsidRDefault="0005054E" w:rsidP="00663D17">
      <w:pPr>
        <w:pBdr>
          <w:top w:val="nil"/>
          <w:left w:val="nil"/>
          <w:bottom w:val="nil"/>
          <w:right w:val="nil"/>
          <w:between w:val="nil"/>
        </w:pBdr>
        <w:spacing w:line="360" w:lineRule="auto"/>
        <w:rPr>
          <w:rFonts w:asciiTheme="minorHAnsi" w:eastAsia="Calibri" w:hAnsiTheme="minorHAnsi" w:cs="Calibri"/>
          <w:color w:val="000000"/>
        </w:rPr>
      </w:pPr>
    </w:p>
    <w:p w14:paraId="55F7241A" w14:textId="5569C587" w:rsidR="007810B4" w:rsidRPr="000C081F" w:rsidRDefault="0005054E" w:rsidP="00663D17">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color w:val="000000"/>
        </w:rPr>
        <w:t xml:space="preserve">The more perplexing question is whether the development of the incorporation model in </w:t>
      </w:r>
      <w:r w:rsidR="006102CF" w:rsidRPr="000C081F">
        <w:rPr>
          <w:rFonts w:asciiTheme="minorHAnsi" w:eastAsia="Calibri" w:hAnsiTheme="minorHAnsi" w:cs="Calibri"/>
          <w:color w:val="000000"/>
        </w:rPr>
        <w:t xml:space="preserve">Aotearoa </w:t>
      </w:r>
      <w:r w:rsidRPr="000C081F">
        <w:rPr>
          <w:rFonts w:asciiTheme="minorHAnsi" w:eastAsia="Calibri" w:hAnsiTheme="minorHAnsi" w:cs="Calibri"/>
          <w:color w:val="000000"/>
        </w:rPr>
        <w:t xml:space="preserve">New Zealand ultimately undermines Māori claims and aspirations to full </w:t>
      </w:r>
      <w:r w:rsidR="008563AE" w:rsidRPr="000C081F">
        <w:rPr>
          <w:rFonts w:asciiTheme="minorHAnsi" w:eastAsia="Calibri" w:hAnsiTheme="minorHAnsi" w:cs="Calibri"/>
          <w:color w:val="000000"/>
        </w:rPr>
        <w:t xml:space="preserve">realisation of </w:t>
      </w:r>
      <w:proofErr w:type="spellStart"/>
      <w:r w:rsidRPr="000C081F">
        <w:rPr>
          <w:rFonts w:asciiTheme="minorHAnsi" w:eastAsia="Calibri" w:hAnsiTheme="minorHAnsi" w:cs="Calibri"/>
          <w:color w:val="000000"/>
        </w:rPr>
        <w:t>tino</w:t>
      </w:r>
      <w:proofErr w:type="spellEnd"/>
      <w:r w:rsidRPr="000C081F">
        <w:rPr>
          <w:rFonts w:asciiTheme="minorHAnsi" w:eastAsia="Calibri" w:hAnsiTheme="minorHAnsi" w:cs="Calibri"/>
          <w:color w:val="000000"/>
        </w:rPr>
        <w:t xml:space="preserve"> rangatiratanga. </w:t>
      </w:r>
      <w:r w:rsidR="008563AE" w:rsidRPr="000C081F">
        <w:rPr>
          <w:rFonts w:asciiTheme="minorHAnsi" w:eastAsia="Calibri" w:hAnsiTheme="minorHAnsi" w:cs="Calibri"/>
          <w:color w:val="000000"/>
        </w:rPr>
        <w:t>If we assume that some form of state recognition of Māori sovereignty is needed before that sovereignty can be exercised fully, my</w:t>
      </w:r>
      <w:r w:rsidRPr="000C081F">
        <w:rPr>
          <w:rFonts w:asciiTheme="minorHAnsi" w:eastAsia="Calibri" w:hAnsiTheme="minorHAnsi" w:cs="Calibri"/>
          <w:color w:val="000000"/>
        </w:rPr>
        <w:t xml:space="preserve"> fear </w:t>
      </w:r>
      <w:r w:rsidR="00756FEC" w:rsidRPr="000C081F">
        <w:rPr>
          <w:rFonts w:asciiTheme="minorHAnsi" w:eastAsia="Calibri" w:hAnsiTheme="minorHAnsi" w:cs="Calibri"/>
          <w:color w:val="000000"/>
        </w:rPr>
        <w:t xml:space="preserve">is </w:t>
      </w:r>
      <w:r w:rsidRPr="000C081F">
        <w:rPr>
          <w:rFonts w:asciiTheme="minorHAnsi" w:eastAsia="Calibri" w:hAnsiTheme="minorHAnsi" w:cs="Calibri"/>
          <w:color w:val="000000"/>
        </w:rPr>
        <w:t xml:space="preserve">that </w:t>
      </w:r>
      <w:r w:rsidR="008563AE" w:rsidRPr="000C081F">
        <w:rPr>
          <w:rFonts w:asciiTheme="minorHAnsi" w:eastAsia="Calibri" w:hAnsiTheme="minorHAnsi" w:cs="Calibri"/>
          <w:color w:val="000000"/>
        </w:rPr>
        <w:t>the incorporation model</w:t>
      </w:r>
      <w:r w:rsidRPr="000C081F">
        <w:rPr>
          <w:rFonts w:asciiTheme="minorHAnsi" w:eastAsia="Calibri" w:hAnsiTheme="minorHAnsi" w:cs="Calibri"/>
          <w:color w:val="000000"/>
        </w:rPr>
        <w:t xml:space="preserve"> may </w:t>
      </w:r>
      <w:r w:rsidR="008563AE" w:rsidRPr="000C081F">
        <w:rPr>
          <w:rFonts w:asciiTheme="minorHAnsi" w:eastAsia="Calibri" w:hAnsiTheme="minorHAnsi" w:cs="Calibri"/>
          <w:color w:val="000000"/>
        </w:rPr>
        <w:t>become an apology for a lack of recognition of full sovereign</w:t>
      </w:r>
      <w:r w:rsidR="00756FEC" w:rsidRPr="000C081F">
        <w:rPr>
          <w:rFonts w:asciiTheme="minorHAnsi" w:eastAsia="Calibri" w:hAnsiTheme="minorHAnsi" w:cs="Calibri"/>
          <w:color w:val="000000"/>
        </w:rPr>
        <w:t>t</w:t>
      </w:r>
      <w:r w:rsidR="008563AE" w:rsidRPr="000C081F">
        <w:rPr>
          <w:rFonts w:asciiTheme="minorHAnsi" w:eastAsia="Calibri" w:hAnsiTheme="minorHAnsi" w:cs="Calibri"/>
          <w:color w:val="000000"/>
        </w:rPr>
        <w:t>y</w:t>
      </w:r>
      <w:r w:rsidR="00756FEC" w:rsidRPr="000C081F">
        <w:rPr>
          <w:rFonts w:asciiTheme="minorHAnsi" w:eastAsia="Calibri" w:hAnsiTheme="minorHAnsi" w:cs="Calibri"/>
          <w:color w:val="000000"/>
        </w:rPr>
        <w:t>,</w:t>
      </w:r>
      <w:r w:rsidR="008563AE" w:rsidRPr="000C081F">
        <w:rPr>
          <w:rFonts w:asciiTheme="minorHAnsi" w:eastAsia="Calibri" w:hAnsiTheme="minorHAnsi" w:cs="Calibri"/>
          <w:color w:val="000000"/>
        </w:rPr>
        <w:t xml:space="preserve"> or worse, stymie</w:t>
      </w:r>
      <w:r w:rsidR="007810B4" w:rsidRPr="000C081F">
        <w:rPr>
          <w:rFonts w:asciiTheme="minorHAnsi" w:eastAsia="Calibri" w:hAnsiTheme="minorHAnsi" w:cs="Calibri"/>
        </w:rPr>
        <w:t xml:space="preserve"> moves towards greater recognition of sovereignty</w:t>
      </w:r>
      <w:r w:rsidR="00756FEC" w:rsidRPr="000C081F">
        <w:rPr>
          <w:rFonts w:asciiTheme="minorHAnsi" w:eastAsia="Calibri" w:hAnsiTheme="minorHAnsi" w:cs="Calibri"/>
        </w:rPr>
        <w:t>.</w:t>
      </w:r>
      <w:r w:rsidR="008563AE" w:rsidRPr="000C081F">
        <w:rPr>
          <w:rFonts w:asciiTheme="minorHAnsi" w:eastAsia="Calibri" w:hAnsiTheme="minorHAnsi" w:cs="Calibri"/>
        </w:rPr>
        <w:t xml:space="preserve"> On the other hand, incorporation may facilitate a move towards greater Māori sovereignty, paving the way forward.</w:t>
      </w:r>
    </w:p>
    <w:p w14:paraId="12262C8A" w14:textId="77777777" w:rsidR="008563AE" w:rsidRPr="000C081F" w:rsidRDefault="008563AE" w:rsidP="00663D17">
      <w:pPr>
        <w:pBdr>
          <w:top w:val="nil"/>
          <w:left w:val="nil"/>
          <w:bottom w:val="nil"/>
          <w:right w:val="nil"/>
          <w:between w:val="nil"/>
        </w:pBdr>
        <w:spacing w:line="360" w:lineRule="auto"/>
        <w:rPr>
          <w:rFonts w:asciiTheme="minorHAnsi" w:eastAsia="Calibri" w:hAnsiTheme="minorHAnsi" w:cs="Calibri"/>
        </w:rPr>
      </w:pPr>
    </w:p>
    <w:p w14:paraId="4EB4F2A2" w14:textId="55CBA415" w:rsidR="007810B4" w:rsidRPr="000C081F" w:rsidRDefault="008563AE" w:rsidP="00663D17">
      <w:pPr>
        <w:pBdr>
          <w:top w:val="nil"/>
          <w:left w:val="nil"/>
          <w:bottom w:val="nil"/>
          <w:right w:val="nil"/>
          <w:between w:val="nil"/>
        </w:pBdr>
        <w:spacing w:line="360" w:lineRule="auto"/>
        <w:rPr>
          <w:rFonts w:asciiTheme="minorHAnsi" w:eastAsia="Calibri" w:hAnsiTheme="minorHAnsi" w:cs="Calibri"/>
        </w:rPr>
      </w:pPr>
      <w:r w:rsidRPr="000C081F">
        <w:rPr>
          <w:rFonts w:asciiTheme="minorHAnsi" w:eastAsia="Calibri" w:hAnsiTheme="minorHAnsi" w:cs="Calibri"/>
        </w:rPr>
        <w:t>On a different note, other states, including those that practice the territorial model</w:t>
      </w:r>
      <w:r w:rsidR="00446A35" w:rsidRPr="000C081F">
        <w:rPr>
          <w:rFonts w:asciiTheme="minorHAnsi" w:eastAsia="Calibri" w:hAnsiTheme="minorHAnsi" w:cs="Calibri"/>
        </w:rPr>
        <w:t>,</w:t>
      </w:r>
      <w:r w:rsidRPr="000C081F">
        <w:rPr>
          <w:rFonts w:asciiTheme="minorHAnsi" w:eastAsia="Calibri" w:hAnsiTheme="minorHAnsi" w:cs="Calibri"/>
        </w:rPr>
        <w:t xml:space="preserve"> </w:t>
      </w:r>
      <w:r w:rsidR="00446A35" w:rsidRPr="000C081F">
        <w:rPr>
          <w:rFonts w:asciiTheme="minorHAnsi" w:eastAsia="Calibri" w:hAnsiTheme="minorHAnsi" w:cs="Calibri"/>
        </w:rPr>
        <w:t>might</w:t>
      </w:r>
      <w:r w:rsidRPr="000C081F">
        <w:rPr>
          <w:rFonts w:asciiTheme="minorHAnsi" w:eastAsia="Calibri" w:hAnsiTheme="minorHAnsi" w:cs="Calibri"/>
        </w:rPr>
        <w:t xml:space="preserve"> learn from Aotearoa New Zealand’s development of the incorporation model. For example, it could influence the application of </w:t>
      </w:r>
      <w:r w:rsidR="00446A35" w:rsidRPr="000C081F">
        <w:rPr>
          <w:rFonts w:asciiTheme="minorHAnsi" w:eastAsia="Calibri" w:hAnsiTheme="minorHAnsi" w:cs="Calibri"/>
        </w:rPr>
        <w:t>Indigenous law by state courts</w:t>
      </w:r>
      <w:r w:rsidRPr="000C081F">
        <w:rPr>
          <w:rFonts w:asciiTheme="minorHAnsi" w:eastAsia="Calibri" w:hAnsiTheme="minorHAnsi" w:cs="Calibri"/>
        </w:rPr>
        <w:t xml:space="preserve"> off</w:t>
      </w:r>
      <w:r w:rsidR="00756FEC" w:rsidRPr="000C081F">
        <w:rPr>
          <w:rFonts w:asciiTheme="minorHAnsi" w:eastAsia="Calibri" w:hAnsiTheme="minorHAnsi" w:cs="Calibri"/>
        </w:rPr>
        <w:t>-</w:t>
      </w:r>
      <w:r w:rsidRPr="000C081F">
        <w:rPr>
          <w:rFonts w:asciiTheme="minorHAnsi" w:eastAsia="Calibri" w:hAnsiTheme="minorHAnsi" w:cs="Calibri"/>
        </w:rPr>
        <w:t xml:space="preserve">reservation where </w:t>
      </w:r>
      <w:r w:rsidR="00446A35" w:rsidRPr="000C081F">
        <w:rPr>
          <w:rFonts w:asciiTheme="minorHAnsi" w:eastAsia="Calibri" w:hAnsiTheme="minorHAnsi" w:cs="Calibri"/>
        </w:rPr>
        <w:t>Indian nations do not exercise any independent law-making authority. An argument might also be made that s 35</w:t>
      </w:r>
      <w:r w:rsidR="00756FEC" w:rsidRPr="000C081F">
        <w:rPr>
          <w:rFonts w:asciiTheme="minorHAnsi" w:eastAsia="Calibri" w:hAnsiTheme="minorHAnsi" w:cs="Calibri"/>
        </w:rPr>
        <w:t xml:space="preserve"> of the</w:t>
      </w:r>
      <w:r w:rsidR="00446A35" w:rsidRPr="000C081F">
        <w:rPr>
          <w:rFonts w:asciiTheme="minorHAnsi" w:eastAsia="Calibri" w:hAnsiTheme="minorHAnsi" w:cs="Calibri"/>
        </w:rPr>
        <w:t xml:space="preserve"> Canadian Constitution </w:t>
      </w:r>
      <w:r w:rsidR="00EC51AA" w:rsidRPr="000C081F">
        <w:rPr>
          <w:rFonts w:asciiTheme="minorHAnsi" w:eastAsia="Calibri" w:hAnsiTheme="minorHAnsi" w:cs="Calibri"/>
        </w:rPr>
        <w:t>Act 1982 –</w:t>
      </w:r>
      <w:r w:rsidR="00446A35" w:rsidRPr="000C081F">
        <w:rPr>
          <w:rFonts w:asciiTheme="minorHAnsi" w:eastAsia="Calibri" w:hAnsiTheme="minorHAnsi" w:cs="Calibri"/>
        </w:rPr>
        <w:t xml:space="preserve"> </w:t>
      </w:r>
      <w:r w:rsidR="007810B4" w:rsidRPr="000C081F">
        <w:rPr>
          <w:rFonts w:asciiTheme="minorHAnsi" w:eastAsia="Calibri" w:hAnsiTheme="minorHAnsi" w:cs="Calibri"/>
          <w:color w:val="000000"/>
        </w:rPr>
        <w:t>protecting aboriginal and treaty rights – requires state legal systems to apply Indigenous law.</w:t>
      </w:r>
    </w:p>
    <w:p w14:paraId="71BD1447" w14:textId="6B66CE61" w:rsidR="007810B4" w:rsidRPr="000C081F" w:rsidRDefault="007810B4" w:rsidP="00663D17">
      <w:pPr>
        <w:spacing w:line="360" w:lineRule="auto"/>
        <w:rPr>
          <w:rFonts w:asciiTheme="minorHAnsi" w:eastAsia="Calibri" w:hAnsiTheme="minorHAnsi" w:cs="Calibri"/>
        </w:rPr>
      </w:pPr>
    </w:p>
    <w:p w14:paraId="19416516" w14:textId="1B9CD253" w:rsidR="00560E76" w:rsidRPr="00ED667B" w:rsidRDefault="00446A35" w:rsidP="00663D17">
      <w:pPr>
        <w:spacing w:line="360" w:lineRule="auto"/>
        <w:rPr>
          <w:rFonts w:asciiTheme="minorHAnsi" w:eastAsia="Calibri" w:hAnsiTheme="minorHAnsi" w:cs="Calibri"/>
          <w:color w:val="000000"/>
        </w:rPr>
      </w:pPr>
      <w:proofErr w:type="spellStart"/>
      <w:r w:rsidRPr="000C081F">
        <w:rPr>
          <w:rFonts w:asciiTheme="minorHAnsi" w:eastAsia="Calibri" w:hAnsiTheme="minorHAnsi" w:cs="Calibri"/>
        </w:rPr>
        <w:t>Tēnā</w:t>
      </w:r>
      <w:proofErr w:type="spellEnd"/>
      <w:r w:rsidRPr="000C081F">
        <w:rPr>
          <w:rFonts w:asciiTheme="minorHAnsi" w:eastAsia="Calibri" w:hAnsiTheme="minorHAnsi" w:cs="Calibri"/>
        </w:rPr>
        <w:t xml:space="preserve"> koutou </w:t>
      </w:r>
      <w:proofErr w:type="spellStart"/>
      <w:r w:rsidRPr="000C081F">
        <w:rPr>
          <w:rFonts w:asciiTheme="minorHAnsi" w:eastAsia="Calibri" w:hAnsiTheme="minorHAnsi" w:cs="Calibri"/>
        </w:rPr>
        <w:t>kātoa|Thank</w:t>
      </w:r>
      <w:proofErr w:type="spellEnd"/>
      <w:r w:rsidRPr="000C081F">
        <w:rPr>
          <w:rFonts w:asciiTheme="minorHAnsi" w:eastAsia="Calibri" w:hAnsiTheme="minorHAnsi" w:cs="Calibri"/>
        </w:rPr>
        <w:t xml:space="preserve"> you</w:t>
      </w:r>
      <w:r w:rsidR="00E62C0B" w:rsidRPr="000C081F">
        <w:rPr>
          <w:rFonts w:asciiTheme="minorHAnsi" w:eastAsia="Calibri" w:hAnsiTheme="minorHAnsi" w:cs="Calibri"/>
        </w:rPr>
        <w:t>.</w:t>
      </w:r>
      <w:r w:rsidR="00E62C0B" w:rsidRPr="00ED667B">
        <w:rPr>
          <w:rFonts w:asciiTheme="minorHAnsi" w:eastAsia="Calibri" w:hAnsiTheme="minorHAnsi" w:cs="Calibri"/>
        </w:rPr>
        <w:t xml:space="preserve"> </w:t>
      </w:r>
    </w:p>
    <w:sectPr w:rsidR="00560E76" w:rsidRPr="00ED667B" w:rsidSect="007810B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9593" w14:textId="77777777" w:rsidR="002B6B14" w:rsidRDefault="002B6B14" w:rsidP="007810B4">
      <w:r>
        <w:separator/>
      </w:r>
    </w:p>
  </w:endnote>
  <w:endnote w:type="continuationSeparator" w:id="0">
    <w:p w14:paraId="1C7EB517" w14:textId="77777777" w:rsidR="002B6B14" w:rsidRDefault="002B6B14" w:rsidP="0078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Play">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8ED5" w14:textId="77777777" w:rsidR="00E34742"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7C47A29" w14:textId="77777777" w:rsidR="00E34742" w:rsidRDefault="00E34742">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58AF" w14:textId="77777777" w:rsidR="00E34742"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58C276F" w14:textId="77777777" w:rsidR="00E34742" w:rsidRDefault="00E34742">
    <w:pPr>
      <w:pBdr>
        <w:top w:val="nil"/>
        <w:left w:val="nil"/>
        <w:bottom w:val="nil"/>
        <w:right w:val="nil"/>
        <w:between w:val="nil"/>
      </w:pBdr>
      <w:tabs>
        <w:tab w:val="center" w:pos="4513"/>
        <w:tab w:val="right" w:pos="9026"/>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C5D9" w14:textId="77777777" w:rsidR="000440DB" w:rsidRDefault="00044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ECC4F" w14:textId="77777777" w:rsidR="002B6B14" w:rsidRDefault="002B6B14" w:rsidP="007810B4">
      <w:r>
        <w:separator/>
      </w:r>
    </w:p>
  </w:footnote>
  <w:footnote w:type="continuationSeparator" w:id="0">
    <w:p w14:paraId="23083D6E" w14:textId="77777777" w:rsidR="002B6B14" w:rsidRDefault="002B6B14" w:rsidP="007810B4">
      <w:r>
        <w:continuationSeparator/>
      </w:r>
    </w:p>
  </w:footnote>
  <w:footnote w:id="1">
    <w:p w14:paraId="42E84F7B" w14:textId="59FC1895" w:rsidR="007810B4" w:rsidRPr="00ED667B" w:rsidRDefault="007810B4" w:rsidP="00ED667B">
      <w:pPr>
        <w:rPr>
          <w:rFonts w:asciiTheme="minorHAnsi" w:hAnsiTheme="minorHAnsi"/>
          <w:sz w:val="20"/>
          <w:szCs w:val="20"/>
          <w:lang w:val="en-US"/>
        </w:rPr>
      </w:pPr>
      <w:r w:rsidRPr="00ED667B">
        <w:rPr>
          <w:rStyle w:val="FootnoteReference"/>
          <w:rFonts w:asciiTheme="minorHAnsi" w:hAnsiTheme="minorHAnsi"/>
          <w:sz w:val="20"/>
          <w:szCs w:val="20"/>
        </w:rPr>
        <w:footnoteRef/>
      </w:r>
      <w:r w:rsidRPr="00ED667B">
        <w:rPr>
          <w:rFonts w:asciiTheme="minorHAnsi" w:hAnsiTheme="minorHAnsi"/>
          <w:sz w:val="20"/>
          <w:szCs w:val="20"/>
        </w:rPr>
        <w:t xml:space="preserve"> </w:t>
      </w:r>
      <w:proofErr w:type="spellStart"/>
      <w:r w:rsidRPr="00ED667B">
        <w:rPr>
          <w:rFonts w:asciiTheme="minorHAnsi" w:hAnsiTheme="minorHAnsi" w:cs="Times New Roman"/>
          <w:i/>
          <w:iCs/>
          <w:color w:val="000000" w:themeColor="text1"/>
          <w:sz w:val="20"/>
          <w:szCs w:val="20"/>
        </w:rPr>
        <w:t>Takamore</w:t>
      </w:r>
      <w:proofErr w:type="spellEnd"/>
      <w:r w:rsidRPr="00ED667B">
        <w:rPr>
          <w:rFonts w:asciiTheme="minorHAnsi" w:hAnsiTheme="minorHAnsi" w:cs="Times New Roman"/>
          <w:i/>
          <w:iCs/>
          <w:color w:val="000000" w:themeColor="text1"/>
          <w:sz w:val="20"/>
          <w:szCs w:val="20"/>
        </w:rPr>
        <w:t xml:space="preserve"> v Clarke</w:t>
      </w:r>
      <w:r w:rsidRPr="00ED667B">
        <w:rPr>
          <w:rFonts w:asciiTheme="minorHAnsi" w:hAnsiTheme="minorHAnsi" w:cs="Times New Roman"/>
          <w:color w:val="000000" w:themeColor="text1"/>
          <w:sz w:val="20"/>
          <w:szCs w:val="20"/>
        </w:rPr>
        <w:t xml:space="preserve"> [2012] NZSC 116, [2013] 2 NZLR 733.</w:t>
      </w:r>
    </w:p>
  </w:footnote>
  <w:footnote w:id="2">
    <w:p w14:paraId="23983EE2" w14:textId="769B517A" w:rsidR="005211FC" w:rsidRPr="00ED667B" w:rsidRDefault="005211FC" w:rsidP="0029563D">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8C31FA" w:rsidRPr="00ED667B">
        <w:rPr>
          <w:rFonts w:asciiTheme="minorHAnsi" w:hAnsiTheme="minorHAnsi"/>
        </w:rPr>
        <w:t>N</w:t>
      </w:r>
      <w:r w:rsidR="0096302F" w:rsidRPr="00ED667B">
        <w:rPr>
          <w:rFonts w:asciiTheme="minorHAnsi" w:hAnsiTheme="minorHAnsi"/>
        </w:rPr>
        <w:t>icole</w:t>
      </w:r>
      <w:r w:rsidR="008C31FA" w:rsidRPr="00ED667B">
        <w:rPr>
          <w:rFonts w:asciiTheme="minorHAnsi" w:hAnsiTheme="minorHAnsi"/>
        </w:rPr>
        <w:t xml:space="preserve"> Roughan </w:t>
      </w:r>
      <w:proofErr w:type="spellStart"/>
      <w:r w:rsidR="008C31FA" w:rsidRPr="005D08F6">
        <w:rPr>
          <w:rFonts w:asciiTheme="minorHAnsi" w:hAnsiTheme="minorHAnsi"/>
          <w:i/>
          <w:iCs/>
        </w:rPr>
        <w:t>Interlegality</w:t>
      </w:r>
      <w:proofErr w:type="spellEnd"/>
      <w:r w:rsidR="008C31FA" w:rsidRPr="005D08F6">
        <w:rPr>
          <w:rFonts w:asciiTheme="minorHAnsi" w:hAnsiTheme="minorHAnsi"/>
          <w:i/>
          <w:iCs/>
        </w:rPr>
        <w:t xml:space="preserve">, </w:t>
      </w:r>
      <w:r w:rsidR="0096302F" w:rsidRPr="00ED667B">
        <w:rPr>
          <w:rFonts w:asciiTheme="minorHAnsi" w:hAnsiTheme="minorHAnsi"/>
          <w:i/>
          <w:iCs/>
        </w:rPr>
        <w:t>i</w:t>
      </w:r>
      <w:r w:rsidR="008C31FA" w:rsidRPr="005D08F6">
        <w:rPr>
          <w:rFonts w:asciiTheme="minorHAnsi" w:hAnsiTheme="minorHAnsi"/>
          <w:i/>
          <w:iCs/>
        </w:rPr>
        <w:t xml:space="preserve">nterdependence and </w:t>
      </w:r>
      <w:r w:rsidR="0096302F" w:rsidRPr="00ED667B">
        <w:rPr>
          <w:rFonts w:asciiTheme="minorHAnsi" w:hAnsiTheme="minorHAnsi"/>
          <w:i/>
          <w:iCs/>
        </w:rPr>
        <w:t>i</w:t>
      </w:r>
      <w:r w:rsidR="008C31FA" w:rsidRPr="005D08F6">
        <w:rPr>
          <w:rFonts w:asciiTheme="minorHAnsi" w:hAnsiTheme="minorHAnsi"/>
          <w:i/>
          <w:iCs/>
        </w:rPr>
        <w:t xml:space="preserve">ndependence: </w:t>
      </w:r>
      <w:r w:rsidR="0096302F" w:rsidRPr="00ED667B">
        <w:rPr>
          <w:rFonts w:asciiTheme="minorHAnsi" w:hAnsiTheme="minorHAnsi"/>
          <w:i/>
          <w:iCs/>
        </w:rPr>
        <w:t>f</w:t>
      </w:r>
      <w:r w:rsidR="008C31FA" w:rsidRPr="005D08F6">
        <w:rPr>
          <w:rFonts w:asciiTheme="minorHAnsi" w:hAnsiTheme="minorHAnsi"/>
          <w:i/>
          <w:iCs/>
        </w:rPr>
        <w:t>raming relations of tikanga and state law in Aotearoa New Zealand</w:t>
      </w:r>
      <w:r w:rsidR="006210CA" w:rsidRPr="00ED667B">
        <w:rPr>
          <w:rFonts w:asciiTheme="minorHAnsi" w:hAnsiTheme="minorHAnsi"/>
          <w:i/>
          <w:iCs/>
        </w:rPr>
        <w:t xml:space="preserve"> </w:t>
      </w:r>
      <w:r w:rsidR="008C31FA" w:rsidRPr="00ED667B">
        <w:rPr>
          <w:rFonts w:asciiTheme="minorHAnsi" w:hAnsiTheme="minorHAnsi"/>
        </w:rPr>
        <w:t>(</w:t>
      </w:r>
      <w:proofErr w:type="spellStart"/>
      <w:r w:rsidR="0096302F" w:rsidRPr="00ED667B">
        <w:rPr>
          <w:rFonts w:asciiTheme="minorHAnsi" w:hAnsiTheme="minorHAnsi"/>
        </w:rPr>
        <w:t>Te</w:t>
      </w:r>
      <w:proofErr w:type="spellEnd"/>
      <w:r w:rsidR="0096302F" w:rsidRPr="00ED667B">
        <w:rPr>
          <w:rFonts w:asciiTheme="minorHAnsi" w:hAnsiTheme="minorHAnsi"/>
        </w:rPr>
        <w:t xml:space="preserve"> Aka Matua o </w:t>
      </w:r>
      <w:proofErr w:type="spellStart"/>
      <w:r w:rsidR="0096302F" w:rsidRPr="00ED667B">
        <w:rPr>
          <w:rFonts w:asciiTheme="minorHAnsi" w:hAnsiTheme="minorHAnsi"/>
        </w:rPr>
        <w:t>te</w:t>
      </w:r>
      <w:proofErr w:type="spellEnd"/>
      <w:r w:rsidR="0096302F" w:rsidRPr="00ED667B">
        <w:rPr>
          <w:rFonts w:asciiTheme="minorHAnsi" w:hAnsiTheme="minorHAnsi"/>
        </w:rPr>
        <w:t xml:space="preserve"> </w:t>
      </w:r>
      <w:proofErr w:type="spellStart"/>
      <w:r w:rsidR="0096302F" w:rsidRPr="00ED667B">
        <w:rPr>
          <w:rFonts w:asciiTheme="minorHAnsi" w:hAnsiTheme="minorHAnsi"/>
        </w:rPr>
        <w:t>Ture|Law</w:t>
      </w:r>
      <w:proofErr w:type="spellEnd"/>
      <w:r w:rsidR="0096302F" w:rsidRPr="00ED667B">
        <w:rPr>
          <w:rFonts w:asciiTheme="minorHAnsi" w:hAnsiTheme="minorHAnsi"/>
        </w:rPr>
        <w:t xml:space="preserve"> Commission, </w:t>
      </w:r>
      <w:r w:rsidR="008C31FA" w:rsidRPr="00ED667B">
        <w:rPr>
          <w:rFonts w:asciiTheme="minorHAnsi" w:hAnsiTheme="minorHAnsi"/>
        </w:rPr>
        <w:t xml:space="preserve">Wellington, </w:t>
      </w:r>
      <w:r w:rsidR="0096302F" w:rsidRPr="00ED667B">
        <w:rPr>
          <w:rFonts w:asciiTheme="minorHAnsi" w:hAnsiTheme="minorHAnsi"/>
        </w:rPr>
        <w:t xml:space="preserve">September </w:t>
      </w:r>
      <w:r w:rsidR="008C31FA" w:rsidRPr="00ED667B">
        <w:rPr>
          <w:rFonts w:asciiTheme="minorHAnsi" w:hAnsiTheme="minorHAnsi"/>
        </w:rPr>
        <w:t>2023).</w:t>
      </w:r>
    </w:p>
  </w:footnote>
  <w:footnote w:id="3">
    <w:p w14:paraId="5BC1A080" w14:textId="0ACFA7ED" w:rsidR="009F4E56" w:rsidRPr="00ED667B" w:rsidRDefault="009F4E56" w:rsidP="0029563D">
      <w:pPr>
        <w:pBdr>
          <w:top w:val="nil"/>
          <w:left w:val="nil"/>
          <w:bottom w:val="nil"/>
          <w:right w:val="nil"/>
          <w:between w:val="nil"/>
        </w:pBdr>
        <w:rPr>
          <w:rFonts w:asciiTheme="minorHAnsi" w:eastAsia="Play" w:hAnsiTheme="minorHAnsi" w:cs="Play"/>
          <w:color w:val="000000"/>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color w:val="000000"/>
          <w:sz w:val="20"/>
          <w:szCs w:val="20"/>
        </w:rPr>
        <w:t xml:space="preserve"> </w:t>
      </w:r>
      <w:r w:rsidR="006E350A" w:rsidRPr="00ED667B">
        <w:rPr>
          <w:rFonts w:asciiTheme="minorHAnsi" w:eastAsia="Play" w:hAnsiTheme="minorHAnsi" w:cs="Play"/>
          <w:color w:val="000000"/>
          <w:sz w:val="20"/>
          <w:szCs w:val="20"/>
        </w:rPr>
        <w:t xml:space="preserve">John </w:t>
      </w:r>
      <w:r w:rsidRPr="00ED667B">
        <w:rPr>
          <w:rFonts w:asciiTheme="minorHAnsi" w:eastAsia="Play" w:hAnsiTheme="minorHAnsi" w:cs="Play"/>
          <w:color w:val="000000"/>
          <w:sz w:val="20"/>
          <w:szCs w:val="20"/>
        </w:rPr>
        <w:t xml:space="preserve">Griffiths </w:t>
      </w:r>
      <w:r w:rsidR="006E350A" w:rsidRPr="00ED667B">
        <w:rPr>
          <w:rFonts w:asciiTheme="minorHAnsi" w:eastAsia="Play" w:hAnsiTheme="minorHAnsi" w:cs="Play"/>
          <w:color w:val="000000"/>
          <w:sz w:val="20"/>
          <w:szCs w:val="20"/>
        </w:rPr>
        <w:t xml:space="preserve">“What is Legal Pluralism?” (1986) 24 Journal of Legal Pluralism and Unofficial Law </w:t>
      </w:r>
      <w:r w:rsidR="00EC1498" w:rsidRPr="00ED667B">
        <w:rPr>
          <w:rFonts w:asciiTheme="minorHAnsi" w:eastAsia="Play" w:hAnsiTheme="minorHAnsi" w:cs="Play"/>
          <w:color w:val="000000"/>
          <w:sz w:val="20"/>
          <w:szCs w:val="20"/>
        </w:rPr>
        <w:t xml:space="preserve">1 </w:t>
      </w:r>
      <w:r w:rsidR="006E350A" w:rsidRPr="00ED667B">
        <w:rPr>
          <w:rFonts w:asciiTheme="minorHAnsi" w:eastAsia="Play" w:hAnsiTheme="minorHAnsi" w:cs="Play"/>
          <w:color w:val="000000"/>
          <w:sz w:val="20"/>
          <w:szCs w:val="20"/>
        </w:rPr>
        <w:t>at</w:t>
      </w:r>
      <w:r w:rsidRPr="00ED667B">
        <w:rPr>
          <w:rFonts w:asciiTheme="minorHAnsi" w:eastAsia="Play" w:hAnsiTheme="minorHAnsi" w:cs="Play"/>
          <w:color w:val="000000"/>
          <w:sz w:val="20"/>
          <w:szCs w:val="20"/>
        </w:rPr>
        <w:t xml:space="preserve"> </w:t>
      </w:r>
      <w:r w:rsidR="005566CF" w:rsidRPr="00ED667B">
        <w:rPr>
          <w:rFonts w:asciiTheme="minorHAnsi" w:eastAsia="Play" w:hAnsiTheme="minorHAnsi" w:cs="Play"/>
          <w:color w:val="000000"/>
          <w:sz w:val="20"/>
          <w:szCs w:val="20"/>
        </w:rPr>
        <w:t>3</w:t>
      </w:r>
      <w:r w:rsidRPr="00ED667B">
        <w:rPr>
          <w:rFonts w:asciiTheme="minorHAnsi" w:eastAsia="Play" w:hAnsiTheme="minorHAnsi" w:cs="Play"/>
          <w:color w:val="000000"/>
          <w:sz w:val="20"/>
          <w:szCs w:val="20"/>
        </w:rPr>
        <w:t xml:space="preserve">.  See also Ralf Michaels “Law and Recognition – Towards a Relational Concept of Law” in </w:t>
      </w:r>
      <w:r w:rsidRPr="00915B95">
        <w:rPr>
          <w:rFonts w:asciiTheme="minorHAnsi" w:eastAsia="Play" w:hAnsiTheme="minorHAnsi" w:cs="Play"/>
          <w:color w:val="000000"/>
          <w:sz w:val="20"/>
          <w:szCs w:val="20"/>
        </w:rPr>
        <w:t>N</w:t>
      </w:r>
      <w:r w:rsidR="00C9414D" w:rsidRPr="00915B95">
        <w:rPr>
          <w:rFonts w:asciiTheme="minorHAnsi" w:eastAsia="Play" w:hAnsiTheme="minorHAnsi" w:cs="Play"/>
          <w:color w:val="000000"/>
          <w:sz w:val="20"/>
          <w:szCs w:val="20"/>
        </w:rPr>
        <w:t>icole</w:t>
      </w:r>
      <w:r w:rsidRPr="00915B95">
        <w:rPr>
          <w:rFonts w:asciiTheme="minorHAnsi" w:eastAsia="Play" w:hAnsiTheme="minorHAnsi" w:cs="Play"/>
          <w:color w:val="000000"/>
          <w:sz w:val="20"/>
          <w:szCs w:val="20"/>
        </w:rPr>
        <w:t xml:space="preserve"> Roughan </w:t>
      </w:r>
      <w:r w:rsidR="00C9414D" w:rsidRPr="00915B95">
        <w:rPr>
          <w:rFonts w:asciiTheme="minorHAnsi" w:eastAsia="Play" w:hAnsiTheme="minorHAnsi" w:cs="Play"/>
          <w:color w:val="000000"/>
          <w:sz w:val="20"/>
          <w:szCs w:val="20"/>
        </w:rPr>
        <w:t>and</w:t>
      </w:r>
      <w:r w:rsidRPr="00915B95">
        <w:rPr>
          <w:rFonts w:asciiTheme="minorHAnsi" w:eastAsia="Play" w:hAnsiTheme="minorHAnsi" w:cs="Play"/>
          <w:color w:val="000000"/>
          <w:sz w:val="20"/>
          <w:szCs w:val="20"/>
        </w:rPr>
        <w:t xml:space="preserve"> A</w:t>
      </w:r>
      <w:r w:rsidR="00FE4E1B" w:rsidRPr="00915B95">
        <w:rPr>
          <w:rFonts w:asciiTheme="minorHAnsi" w:eastAsia="Play" w:hAnsiTheme="minorHAnsi" w:cs="Play"/>
          <w:color w:val="000000"/>
          <w:sz w:val="20"/>
          <w:szCs w:val="20"/>
        </w:rPr>
        <w:t>ndrew</w:t>
      </w:r>
      <w:r w:rsidRPr="00915B95">
        <w:rPr>
          <w:rFonts w:asciiTheme="minorHAnsi" w:eastAsia="Play" w:hAnsiTheme="minorHAnsi" w:cs="Play"/>
          <w:color w:val="000000"/>
          <w:sz w:val="20"/>
          <w:szCs w:val="20"/>
        </w:rPr>
        <w:t xml:space="preserve"> Halpin (</w:t>
      </w:r>
      <w:r w:rsidR="00C9414D" w:rsidRPr="00915B95">
        <w:rPr>
          <w:rFonts w:asciiTheme="minorHAnsi" w:eastAsia="Play" w:hAnsiTheme="minorHAnsi" w:cs="Play"/>
          <w:color w:val="000000"/>
          <w:sz w:val="20"/>
          <w:szCs w:val="20"/>
        </w:rPr>
        <w:t>e</w:t>
      </w:r>
      <w:r w:rsidRPr="00915B95">
        <w:rPr>
          <w:rFonts w:asciiTheme="minorHAnsi" w:eastAsia="Play" w:hAnsiTheme="minorHAnsi" w:cs="Play"/>
          <w:color w:val="000000"/>
          <w:sz w:val="20"/>
          <w:szCs w:val="20"/>
        </w:rPr>
        <w:t>ds) In Pursuit of Pluralist Jurisprudence (Cambridge University Press</w:t>
      </w:r>
      <w:r w:rsidR="00C9414D" w:rsidRPr="00915B95">
        <w:rPr>
          <w:rFonts w:asciiTheme="minorHAnsi" w:eastAsia="Play" w:hAnsiTheme="minorHAnsi" w:cs="Play"/>
          <w:color w:val="000000"/>
          <w:sz w:val="20"/>
          <w:szCs w:val="20"/>
        </w:rPr>
        <w:t>, Cambridge, 2017</w:t>
      </w:r>
      <w:r w:rsidRPr="00915B95">
        <w:rPr>
          <w:rFonts w:asciiTheme="minorHAnsi" w:eastAsia="Play" w:hAnsiTheme="minorHAnsi" w:cs="Play"/>
          <w:color w:val="000000"/>
          <w:sz w:val="20"/>
          <w:szCs w:val="20"/>
        </w:rPr>
        <w:t>)</w:t>
      </w:r>
      <w:r w:rsidR="00C9414D" w:rsidRPr="00915B95">
        <w:rPr>
          <w:rFonts w:asciiTheme="minorHAnsi" w:eastAsia="Play" w:hAnsiTheme="minorHAnsi" w:cs="Play"/>
          <w:color w:val="000000"/>
          <w:sz w:val="20"/>
          <w:szCs w:val="20"/>
        </w:rPr>
        <w:t xml:space="preserve"> 90 at</w:t>
      </w:r>
      <w:r w:rsidR="00FE4E1B" w:rsidRPr="00915B95">
        <w:rPr>
          <w:rFonts w:asciiTheme="minorHAnsi" w:eastAsia="Play" w:hAnsiTheme="minorHAnsi" w:cs="Play"/>
          <w:color w:val="000000"/>
          <w:sz w:val="20"/>
          <w:szCs w:val="20"/>
        </w:rPr>
        <w:t xml:space="preserve"> 100</w:t>
      </w:r>
      <w:r w:rsidRPr="00915B95">
        <w:rPr>
          <w:rFonts w:asciiTheme="minorHAnsi" w:eastAsia="Play" w:hAnsiTheme="minorHAnsi" w:cs="Play"/>
          <w:color w:val="000000"/>
          <w:sz w:val="20"/>
          <w:szCs w:val="20"/>
        </w:rPr>
        <w:t>.</w:t>
      </w:r>
    </w:p>
  </w:footnote>
  <w:footnote w:id="4">
    <w:p w14:paraId="6FAE3B7A" w14:textId="00896F85" w:rsidR="0029563D" w:rsidRPr="00ED667B" w:rsidRDefault="0029563D" w:rsidP="0029563D">
      <w:pPr>
        <w:rPr>
          <w:rFonts w:asciiTheme="minorHAnsi" w:hAnsiTheme="minorHAnsi" w:cstheme="minorHAnsi"/>
          <w:sz w:val="20"/>
          <w:szCs w:val="20"/>
        </w:rPr>
      </w:pPr>
      <w:r w:rsidRPr="00ED667B">
        <w:rPr>
          <w:rStyle w:val="FootnoteReference"/>
          <w:rFonts w:asciiTheme="minorHAnsi" w:hAnsiTheme="minorHAnsi"/>
          <w:sz w:val="20"/>
          <w:szCs w:val="20"/>
        </w:rPr>
        <w:footnoteRef/>
      </w:r>
      <w:r w:rsidRPr="00ED667B">
        <w:rPr>
          <w:rFonts w:asciiTheme="minorHAnsi" w:hAnsiTheme="minorHAnsi"/>
          <w:sz w:val="20"/>
          <w:szCs w:val="20"/>
        </w:rPr>
        <w:t xml:space="preserve"> </w:t>
      </w:r>
      <w:r w:rsidRPr="00ED667B">
        <w:rPr>
          <w:rFonts w:asciiTheme="minorHAnsi" w:hAnsiTheme="minorHAnsi"/>
          <w:sz w:val="20"/>
          <w:szCs w:val="20"/>
          <w:lang w:val="mi-NZ"/>
        </w:rPr>
        <w:t xml:space="preserve">Kirsty Gover </w:t>
      </w:r>
      <w:r w:rsidR="00F72F12" w:rsidRPr="00ED667B">
        <w:rPr>
          <w:rFonts w:asciiTheme="minorHAnsi" w:hAnsiTheme="minorHAnsi"/>
          <w:sz w:val="20"/>
          <w:szCs w:val="20"/>
          <w:lang w:val="mi-NZ"/>
        </w:rPr>
        <w:t>“</w:t>
      </w:r>
      <w:r w:rsidRPr="00ED667B">
        <w:rPr>
          <w:rFonts w:asciiTheme="minorHAnsi" w:hAnsiTheme="minorHAnsi" w:cstheme="minorHAnsi"/>
          <w:sz w:val="20"/>
          <w:szCs w:val="20"/>
        </w:rPr>
        <w:t>Boundaries, Indigeneity and Legal Pluralism: Can Private International Law Assist?</w:t>
      </w:r>
      <w:r w:rsidR="00F72F12" w:rsidRPr="00ED667B">
        <w:rPr>
          <w:rFonts w:asciiTheme="minorHAnsi" w:hAnsiTheme="minorHAnsi" w:cstheme="minorHAnsi"/>
          <w:sz w:val="20"/>
          <w:szCs w:val="20"/>
        </w:rPr>
        <w:t>”</w:t>
      </w:r>
      <w:r w:rsidRPr="00ED667B">
        <w:rPr>
          <w:rFonts w:asciiTheme="minorHAnsi" w:hAnsiTheme="minorHAnsi" w:cstheme="minorHAnsi"/>
          <w:sz w:val="20"/>
          <w:szCs w:val="20"/>
        </w:rPr>
        <w:t xml:space="preserve"> (</w:t>
      </w:r>
      <w:r w:rsidR="001D075A" w:rsidRPr="00ED667B">
        <w:rPr>
          <w:rFonts w:asciiTheme="minorHAnsi" w:hAnsiTheme="minorHAnsi" w:cstheme="minorHAnsi"/>
          <w:sz w:val="20"/>
          <w:szCs w:val="20"/>
        </w:rPr>
        <w:t>d</w:t>
      </w:r>
      <w:r w:rsidRPr="00ED667B">
        <w:rPr>
          <w:rFonts w:asciiTheme="minorHAnsi" w:hAnsiTheme="minorHAnsi" w:cstheme="minorHAnsi"/>
          <w:sz w:val="20"/>
          <w:szCs w:val="20"/>
        </w:rPr>
        <w:t xml:space="preserve">raft </w:t>
      </w:r>
      <w:r w:rsidR="001D075A" w:rsidRPr="00ED667B">
        <w:rPr>
          <w:rFonts w:asciiTheme="minorHAnsi" w:hAnsiTheme="minorHAnsi" w:cstheme="minorHAnsi"/>
          <w:sz w:val="20"/>
          <w:szCs w:val="20"/>
        </w:rPr>
        <w:t>r</w:t>
      </w:r>
      <w:r w:rsidRPr="00ED667B">
        <w:rPr>
          <w:rFonts w:asciiTheme="minorHAnsi" w:hAnsiTheme="minorHAnsi" w:cstheme="minorHAnsi"/>
          <w:sz w:val="20"/>
          <w:szCs w:val="20"/>
        </w:rPr>
        <w:t>esearch Paper</w:t>
      </w:r>
      <w:r w:rsidR="001D075A" w:rsidRPr="00ED667B">
        <w:rPr>
          <w:rFonts w:asciiTheme="minorHAnsi" w:hAnsiTheme="minorHAnsi" w:cstheme="minorHAnsi"/>
          <w:sz w:val="20"/>
          <w:szCs w:val="20"/>
        </w:rPr>
        <w:t>,</w:t>
      </w:r>
      <w:r w:rsidRPr="00ED667B">
        <w:rPr>
          <w:rFonts w:asciiTheme="minorHAnsi" w:hAnsiTheme="minorHAnsi" w:cstheme="minorHAnsi"/>
          <w:sz w:val="20"/>
          <w:szCs w:val="20"/>
        </w:rPr>
        <w:t xml:space="preserve"> University of Melbourne, October 2024).</w:t>
      </w:r>
    </w:p>
  </w:footnote>
  <w:footnote w:id="5">
    <w:p w14:paraId="204C66DE" w14:textId="60972131" w:rsidR="00FD6291" w:rsidRPr="00ED667B" w:rsidRDefault="00FD6291" w:rsidP="0029563D">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FC5DDE" w:rsidRPr="00ED667B">
        <w:rPr>
          <w:rFonts w:asciiTheme="minorHAnsi" w:hAnsiTheme="minorHAnsi"/>
        </w:rPr>
        <w:t xml:space="preserve">Roughan, above n </w:t>
      </w:r>
      <w:r w:rsidR="00FC5DDE" w:rsidRPr="00ED667B">
        <w:rPr>
          <w:rFonts w:asciiTheme="minorHAnsi" w:hAnsiTheme="minorHAnsi"/>
        </w:rPr>
        <w:fldChar w:fldCharType="begin"/>
      </w:r>
      <w:r w:rsidR="00FC5DDE" w:rsidRPr="00ED667B">
        <w:rPr>
          <w:rFonts w:asciiTheme="minorHAnsi" w:hAnsiTheme="minorHAnsi"/>
        </w:rPr>
        <w:instrText xml:space="preserve"> NOTEREF _Ref190948899 \h </w:instrText>
      </w:r>
      <w:r w:rsidR="00ED667B">
        <w:rPr>
          <w:rFonts w:asciiTheme="minorHAnsi" w:hAnsiTheme="minorHAnsi"/>
        </w:rPr>
        <w:instrText xml:space="preserve"> \* MERGEFORMAT </w:instrText>
      </w:r>
      <w:r w:rsidR="00FC5DDE" w:rsidRPr="00ED667B">
        <w:rPr>
          <w:rFonts w:asciiTheme="minorHAnsi" w:hAnsiTheme="minorHAnsi"/>
        </w:rPr>
      </w:r>
      <w:r w:rsidR="00FC5DDE" w:rsidRPr="00ED667B">
        <w:rPr>
          <w:rFonts w:asciiTheme="minorHAnsi" w:hAnsiTheme="minorHAnsi"/>
        </w:rPr>
        <w:fldChar w:fldCharType="separate"/>
      </w:r>
      <w:r w:rsidR="00FC5DDE" w:rsidRPr="00ED667B">
        <w:rPr>
          <w:rFonts w:asciiTheme="minorHAnsi" w:hAnsiTheme="minorHAnsi"/>
        </w:rPr>
        <w:t>2</w:t>
      </w:r>
      <w:r w:rsidR="00FC5DDE" w:rsidRPr="00ED667B">
        <w:rPr>
          <w:rFonts w:asciiTheme="minorHAnsi" w:hAnsiTheme="minorHAnsi"/>
        </w:rPr>
        <w:fldChar w:fldCharType="end"/>
      </w:r>
      <w:r w:rsidR="00FC5DDE" w:rsidRPr="00ED667B">
        <w:rPr>
          <w:rFonts w:asciiTheme="minorHAnsi" w:hAnsiTheme="minorHAnsi"/>
        </w:rPr>
        <w:t>, at [3.8].</w:t>
      </w:r>
    </w:p>
  </w:footnote>
  <w:footnote w:id="6">
    <w:p w14:paraId="355218BB" w14:textId="564B1979" w:rsidR="00A50DCE" w:rsidRPr="00ED667B" w:rsidRDefault="00A50DCE" w:rsidP="00A50DCE">
      <w:pPr>
        <w:pBdr>
          <w:top w:val="nil"/>
          <w:left w:val="nil"/>
          <w:bottom w:val="nil"/>
          <w:right w:val="nil"/>
          <w:between w:val="nil"/>
        </w:pBdr>
        <w:rPr>
          <w:rFonts w:asciiTheme="minorHAnsi" w:eastAsia="Play" w:hAnsiTheme="minorHAnsi" w:cs="Play"/>
          <w:color w:val="000000"/>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color w:val="000000"/>
          <w:sz w:val="20"/>
          <w:szCs w:val="20"/>
        </w:rPr>
        <w:t xml:space="preserve"> At </w:t>
      </w:r>
      <w:r w:rsidR="00561AFF" w:rsidRPr="00ED667B">
        <w:rPr>
          <w:rFonts w:asciiTheme="minorHAnsi" w:eastAsia="Play" w:hAnsiTheme="minorHAnsi" w:cs="Play"/>
          <w:color w:val="000000"/>
          <w:sz w:val="20"/>
          <w:szCs w:val="20"/>
        </w:rPr>
        <w:t>4</w:t>
      </w:r>
      <w:r w:rsidRPr="00ED667B">
        <w:rPr>
          <w:rFonts w:asciiTheme="minorHAnsi" w:eastAsia="Play" w:hAnsiTheme="minorHAnsi" w:cs="Play"/>
          <w:color w:val="000000"/>
          <w:sz w:val="20"/>
          <w:szCs w:val="20"/>
        </w:rPr>
        <w:t>.</w:t>
      </w:r>
    </w:p>
  </w:footnote>
  <w:footnote w:id="7">
    <w:p w14:paraId="325678FC" w14:textId="7267D80D" w:rsidR="00F72F12" w:rsidRPr="00ED667B" w:rsidRDefault="00F72F12">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013F76" w:rsidRPr="00ED667B">
        <w:rPr>
          <w:rFonts w:asciiTheme="minorHAnsi" w:hAnsiTheme="minorHAnsi"/>
        </w:rPr>
        <w:t>U</w:t>
      </w:r>
      <w:r w:rsidR="000E1CEC" w:rsidRPr="00ED667B">
        <w:rPr>
          <w:rFonts w:asciiTheme="minorHAnsi" w:hAnsiTheme="minorHAnsi"/>
        </w:rPr>
        <w:t xml:space="preserve">nited </w:t>
      </w:r>
      <w:r w:rsidR="00013F76" w:rsidRPr="00ED667B">
        <w:rPr>
          <w:rFonts w:asciiTheme="minorHAnsi" w:hAnsiTheme="minorHAnsi"/>
        </w:rPr>
        <w:t>S</w:t>
      </w:r>
      <w:r w:rsidR="000E1CEC" w:rsidRPr="00ED667B">
        <w:rPr>
          <w:rFonts w:asciiTheme="minorHAnsi" w:hAnsiTheme="minorHAnsi"/>
        </w:rPr>
        <w:t>tates</w:t>
      </w:r>
      <w:r w:rsidR="00013F76" w:rsidRPr="00ED667B">
        <w:rPr>
          <w:rFonts w:asciiTheme="minorHAnsi" w:hAnsiTheme="minorHAnsi"/>
        </w:rPr>
        <w:t xml:space="preserve"> Constitution</w:t>
      </w:r>
      <w:r w:rsidR="00170C1B" w:rsidRPr="00ED667B">
        <w:rPr>
          <w:rFonts w:asciiTheme="minorHAnsi" w:hAnsiTheme="minorHAnsi"/>
        </w:rPr>
        <w:t>, art VI;</w:t>
      </w:r>
      <w:r w:rsidR="00013F76" w:rsidRPr="00ED667B">
        <w:rPr>
          <w:rFonts w:asciiTheme="minorHAnsi" w:hAnsiTheme="minorHAnsi"/>
        </w:rPr>
        <w:t xml:space="preserve"> </w:t>
      </w:r>
      <w:r w:rsidR="00170C1B" w:rsidRPr="00ED667B">
        <w:rPr>
          <w:rFonts w:asciiTheme="minorHAnsi" w:hAnsiTheme="minorHAnsi"/>
          <w:lang w:val="mi-NZ"/>
        </w:rPr>
        <w:t>s</w:t>
      </w:r>
      <w:r w:rsidR="00013F76" w:rsidRPr="00ED667B">
        <w:rPr>
          <w:rFonts w:asciiTheme="minorHAnsi" w:hAnsiTheme="minorHAnsi"/>
          <w:lang w:val="mi-NZ"/>
        </w:rPr>
        <w:t xml:space="preserve">ee also </w:t>
      </w:r>
      <w:r w:rsidR="00013F76" w:rsidRPr="00ED667B">
        <w:rPr>
          <w:rFonts w:asciiTheme="minorHAnsi" w:hAnsiTheme="minorHAnsi"/>
          <w:i/>
          <w:iCs/>
          <w:lang w:val="mi-NZ"/>
        </w:rPr>
        <w:t>U</w:t>
      </w:r>
      <w:proofErr w:type="spellStart"/>
      <w:r w:rsidR="00013F76" w:rsidRPr="00ED667B">
        <w:rPr>
          <w:rFonts w:asciiTheme="minorHAnsi" w:hAnsiTheme="minorHAnsi"/>
          <w:i/>
          <w:iCs/>
        </w:rPr>
        <w:t>nited</w:t>
      </w:r>
      <w:proofErr w:type="spellEnd"/>
      <w:r w:rsidR="00013F76" w:rsidRPr="00ED667B">
        <w:rPr>
          <w:rFonts w:asciiTheme="minorHAnsi" w:hAnsiTheme="minorHAnsi"/>
          <w:i/>
          <w:iCs/>
        </w:rPr>
        <w:t xml:space="preserve"> States v Washington</w:t>
      </w:r>
      <w:r w:rsidR="00013F76" w:rsidRPr="00ED667B">
        <w:rPr>
          <w:rFonts w:asciiTheme="minorHAnsi" w:hAnsiTheme="minorHAnsi"/>
        </w:rPr>
        <w:t xml:space="preserve"> 384 F Supp 312 (WD Wash 1974), aff'd 520 F.2d 676 (9th Cir</w:t>
      </w:r>
      <w:r w:rsidR="00425236" w:rsidRPr="00ED667B">
        <w:rPr>
          <w:rFonts w:asciiTheme="minorHAnsi" w:hAnsiTheme="minorHAnsi"/>
        </w:rPr>
        <w:t xml:space="preserve"> Wash</w:t>
      </w:r>
      <w:r w:rsidR="00013F76" w:rsidRPr="00ED667B">
        <w:rPr>
          <w:rFonts w:asciiTheme="minorHAnsi" w:hAnsiTheme="minorHAnsi"/>
        </w:rPr>
        <w:t xml:space="preserve"> 1975)</w:t>
      </w:r>
      <w:r w:rsidR="00425236" w:rsidRPr="00ED667B">
        <w:rPr>
          <w:rFonts w:asciiTheme="minorHAnsi" w:hAnsiTheme="minorHAnsi"/>
        </w:rPr>
        <w:t>;</w:t>
      </w:r>
      <w:r w:rsidR="00013F76" w:rsidRPr="00ED667B">
        <w:rPr>
          <w:rFonts w:asciiTheme="minorHAnsi" w:hAnsiTheme="minorHAnsi"/>
        </w:rPr>
        <w:t xml:space="preserve"> and </w:t>
      </w:r>
      <w:r w:rsidR="001A45C7" w:rsidRPr="00ED667B">
        <w:rPr>
          <w:rFonts w:asciiTheme="minorHAnsi" w:hAnsiTheme="minorHAnsi"/>
          <w:i/>
          <w:iCs/>
        </w:rPr>
        <w:t xml:space="preserve">McGirt v Oklahoma </w:t>
      </w:r>
      <w:r w:rsidR="001A45C7" w:rsidRPr="00ED667B">
        <w:rPr>
          <w:rFonts w:asciiTheme="minorHAnsi" w:hAnsiTheme="minorHAnsi"/>
        </w:rPr>
        <w:t>140 SC 2452 (US 2020).</w:t>
      </w:r>
    </w:p>
  </w:footnote>
  <w:footnote w:id="8">
    <w:p w14:paraId="6891FF74" w14:textId="6335B7F1" w:rsidR="00591FF1" w:rsidRPr="00ED667B" w:rsidRDefault="00591FF1">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B270BE">
        <w:rPr>
          <w:rFonts w:asciiTheme="minorHAnsi" w:hAnsiTheme="minorHAnsi"/>
          <w:lang w:val="mi-NZ"/>
        </w:rPr>
        <w:t xml:space="preserve">United Nations Declaration on the Rights of Indigenous Peoples GA Res 61/295 (2007); </w:t>
      </w:r>
      <w:r w:rsidR="001A45C7" w:rsidRPr="00ED667B">
        <w:rPr>
          <w:rFonts w:asciiTheme="minorHAnsi" w:hAnsiTheme="minorHAnsi"/>
          <w:lang w:val="mi-NZ"/>
        </w:rPr>
        <w:t>Declaration on the Rights of Indigenous Peoples Act RSBC 2019 c 44; United Nations Declaration on the Rights of Indigenous Peoples Act RSC 2021 c 14.</w:t>
      </w:r>
    </w:p>
  </w:footnote>
  <w:footnote w:id="9">
    <w:p w14:paraId="25E6838A" w14:textId="598087BC" w:rsidR="007314E9" w:rsidRPr="00ED667B" w:rsidRDefault="007314E9" w:rsidP="0029563D">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Pr="00915B95">
        <w:rPr>
          <w:rFonts w:asciiTheme="minorHAnsi" w:hAnsiTheme="minorHAnsi"/>
          <w:lang w:val="mi-NZ"/>
        </w:rPr>
        <w:t>Nisga’</w:t>
      </w:r>
      <w:r w:rsidR="002B5A52" w:rsidRPr="00915B95">
        <w:rPr>
          <w:rFonts w:asciiTheme="minorHAnsi" w:hAnsiTheme="minorHAnsi"/>
          <w:lang w:val="mi-NZ"/>
        </w:rPr>
        <w:t>a</w:t>
      </w:r>
      <w:r w:rsidRPr="00915B95">
        <w:rPr>
          <w:rFonts w:asciiTheme="minorHAnsi" w:hAnsiTheme="minorHAnsi"/>
          <w:lang w:val="mi-NZ"/>
        </w:rPr>
        <w:t xml:space="preserve"> </w:t>
      </w:r>
      <w:r w:rsidR="002B5A52" w:rsidRPr="00915B95">
        <w:rPr>
          <w:rFonts w:asciiTheme="minorHAnsi" w:hAnsiTheme="minorHAnsi"/>
          <w:lang w:val="mi-NZ"/>
        </w:rPr>
        <w:t>Final Agreement, Nisga’a Tribal Council–Canada (signed 27 April 1999, entered into force 4 May 1999)</w:t>
      </w:r>
      <w:r w:rsidRPr="00915B95">
        <w:rPr>
          <w:rFonts w:asciiTheme="minorHAnsi" w:hAnsiTheme="minorHAnsi"/>
          <w:lang w:val="mi-NZ"/>
        </w:rPr>
        <w:t>.</w:t>
      </w:r>
    </w:p>
  </w:footnote>
  <w:footnote w:id="10">
    <w:p w14:paraId="163AFF24" w14:textId="74C5429D" w:rsidR="00591FF1" w:rsidRPr="00ED667B" w:rsidRDefault="00591FF1">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1A45C7" w:rsidRPr="00ED667B">
        <w:rPr>
          <w:rFonts w:asciiTheme="minorHAnsi" w:hAnsiTheme="minorHAnsi"/>
        </w:rPr>
        <w:t xml:space="preserve"> </w:t>
      </w:r>
      <w:r w:rsidR="001A45C7" w:rsidRPr="000C081F">
        <w:rPr>
          <w:rFonts w:asciiTheme="minorHAnsi" w:hAnsiTheme="minorHAnsi"/>
          <w:i/>
          <w:iCs/>
        </w:rPr>
        <w:t>Reference re An Act respecting First Nations, Inuit and Métis children, youth and families</w:t>
      </w:r>
      <w:r w:rsidR="001A45C7" w:rsidRPr="00ED667B">
        <w:rPr>
          <w:rFonts w:asciiTheme="minorHAnsi" w:hAnsiTheme="minorHAnsi"/>
        </w:rPr>
        <w:t xml:space="preserve"> 2024 SCC 5.</w:t>
      </w:r>
    </w:p>
  </w:footnote>
  <w:footnote w:id="11">
    <w:p w14:paraId="7D5B6DD7" w14:textId="0A8FA00B" w:rsidR="007314E9" w:rsidRPr="00915B95" w:rsidRDefault="007314E9" w:rsidP="0029563D">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170C1B" w:rsidRPr="000C081F">
        <w:t>Tsilhqot’in Nation v British Columbia</w:t>
      </w:r>
      <w:r w:rsidR="00982B33" w:rsidRPr="00ED667B">
        <w:rPr>
          <w:rFonts w:asciiTheme="minorHAnsi" w:hAnsiTheme="minorHAnsi"/>
        </w:rPr>
        <w:t xml:space="preserve"> 2014 </w:t>
      </w:r>
      <w:r w:rsidR="00982B33" w:rsidRPr="00915B95">
        <w:rPr>
          <w:rFonts w:asciiTheme="minorHAnsi" w:hAnsiTheme="minorHAnsi"/>
        </w:rPr>
        <w:t>SCC 44.</w:t>
      </w:r>
    </w:p>
  </w:footnote>
  <w:footnote w:id="12">
    <w:p w14:paraId="79624B9D" w14:textId="0342D1F7" w:rsidR="00982B33" w:rsidRPr="00915B95" w:rsidRDefault="00982B33">
      <w:pPr>
        <w:pStyle w:val="FootnoteText"/>
        <w:rPr>
          <w:rFonts w:asciiTheme="minorHAnsi" w:hAnsiTheme="minorHAnsi"/>
          <w:lang w:val="mi-NZ"/>
        </w:rPr>
      </w:pPr>
      <w:r w:rsidRPr="00915B95">
        <w:rPr>
          <w:rStyle w:val="FootnoteReference"/>
          <w:rFonts w:asciiTheme="minorHAnsi" w:hAnsiTheme="minorHAnsi"/>
        </w:rPr>
        <w:footnoteRef/>
      </w:r>
      <w:r w:rsidRPr="00915B95">
        <w:rPr>
          <w:rFonts w:asciiTheme="minorHAnsi" w:hAnsiTheme="minorHAnsi"/>
        </w:rPr>
        <w:t xml:space="preserve"> </w:t>
      </w:r>
      <w:r w:rsidR="00170C1B" w:rsidRPr="00915B95">
        <w:rPr>
          <w:rFonts w:asciiTheme="minorHAnsi" w:hAnsiTheme="minorHAnsi"/>
        </w:rPr>
        <w:t>See Victoria State Government: First Peoples – State Relations “Pathway to Treaty” &lt;</w:t>
      </w:r>
      <w:r w:rsidRPr="00915B95">
        <w:rPr>
          <w:rFonts w:asciiTheme="minorHAnsi" w:hAnsiTheme="minorHAnsi"/>
        </w:rPr>
        <w:t>www.firstpeoplesrelations.vic.gov.au/treaty-process</w:t>
      </w:r>
      <w:r w:rsidR="00170C1B" w:rsidRPr="00915B95">
        <w:rPr>
          <w:rFonts w:asciiTheme="minorHAnsi" w:hAnsiTheme="minorHAnsi"/>
        </w:rPr>
        <w:t>&gt;</w:t>
      </w:r>
      <w:r w:rsidRPr="00915B95">
        <w:rPr>
          <w:rFonts w:asciiTheme="minorHAnsi" w:hAnsiTheme="minorHAnsi"/>
        </w:rPr>
        <w:t>.</w:t>
      </w:r>
    </w:p>
  </w:footnote>
  <w:footnote w:id="13">
    <w:p w14:paraId="392C1CAD" w14:textId="46D3642C" w:rsidR="004B1960" w:rsidRPr="000C081F" w:rsidRDefault="004B1960">
      <w:pPr>
        <w:pStyle w:val="FootnoteText"/>
        <w:rPr>
          <w:lang w:val="en-US"/>
        </w:rPr>
      </w:pPr>
      <w:r w:rsidRPr="00915B95">
        <w:rPr>
          <w:rStyle w:val="FootnoteReference"/>
        </w:rPr>
        <w:footnoteRef/>
      </w:r>
      <w:r w:rsidRPr="00915B95">
        <w:t xml:space="preserve"> </w:t>
      </w:r>
      <w:r w:rsidRPr="00915B95">
        <w:rPr>
          <w:lang w:val="en-US"/>
        </w:rPr>
        <w:t xml:space="preserve">See Eva Josefsen and Jo </w:t>
      </w:r>
      <w:proofErr w:type="spellStart"/>
      <w:r w:rsidRPr="00915B95">
        <w:rPr>
          <w:lang w:val="en-US"/>
        </w:rPr>
        <w:t>Saglie</w:t>
      </w:r>
      <w:proofErr w:type="spellEnd"/>
      <w:r w:rsidRPr="00915B95">
        <w:rPr>
          <w:lang w:val="en-US"/>
        </w:rPr>
        <w:t xml:space="preserve"> “The Sámi Parliament in Norway</w:t>
      </w:r>
      <w:r w:rsidRPr="004B1960">
        <w:rPr>
          <w:lang w:val="en-US"/>
        </w:rPr>
        <w:t>: a ‘breaking in’ perspective” (2024) 14(1) Polar Journal 109 at 110</w:t>
      </w:r>
      <w:r>
        <w:rPr>
          <w:lang w:val="en-US"/>
        </w:rPr>
        <w:t>.</w:t>
      </w:r>
    </w:p>
  </w:footnote>
  <w:footnote w:id="14">
    <w:p w14:paraId="2371B4E9" w14:textId="461C355C" w:rsidR="00E14DEE" w:rsidRPr="00ED667B" w:rsidRDefault="00E14DEE">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r w:rsidR="00B73FC7" w:rsidRPr="00ED667B">
        <w:rPr>
          <w:rFonts w:asciiTheme="minorHAnsi" w:hAnsiTheme="minorHAnsi"/>
        </w:rPr>
        <w:t xml:space="preserve">See </w:t>
      </w:r>
      <w:r w:rsidRPr="00ED667B">
        <w:rPr>
          <w:rFonts w:asciiTheme="minorHAnsi" w:hAnsiTheme="minorHAnsi"/>
          <w:lang w:val="mi-NZ"/>
        </w:rPr>
        <w:t>Matthew Palmer</w:t>
      </w:r>
      <w:r w:rsidR="003D12B2" w:rsidRPr="00ED667B">
        <w:rPr>
          <w:rFonts w:asciiTheme="minorHAnsi" w:hAnsiTheme="minorHAnsi"/>
          <w:lang w:val="mi-NZ"/>
        </w:rPr>
        <w:t xml:space="preserve"> “Constitutional Realism About Constitutional Protection: Indigenous Rights Under a Judicialized and a Politicized Constitution” (2007) 29 Dalhousie Law Journal 1 at </w:t>
      </w:r>
      <w:r w:rsidR="00B73FC7" w:rsidRPr="00ED667B">
        <w:rPr>
          <w:rFonts w:asciiTheme="minorHAnsi" w:hAnsiTheme="minorHAnsi"/>
          <w:lang w:val="mi-NZ"/>
        </w:rPr>
        <w:t>37.</w:t>
      </w:r>
    </w:p>
  </w:footnote>
  <w:footnote w:id="15">
    <w:p w14:paraId="6E8D1E2C" w14:textId="4337E396" w:rsidR="007810B4" w:rsidRPr="00ED667B" w:rsidRDefault="007810B4" w:rsidP="0029563D">
      <w:pPr>
        <w:jc w:val="both"/>
        <w:rPr>
          <w:rFonts w:asciiTheme="minorHAnsi" w:eastAsia="Play" w:hAnsiTheme="minorHAnsi" w:cs="Play"/>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sz w:val="20"/>
          <w:szCs w:val="20"/>
        </w:rPr>
        <w:t xml:space="preserve"> Hirini </w:t>
      </w:r>
      <w:proofErr w:type="spellStart"/>
      <w:r w:rsidRPr="00ED667B">
        <w:rPr>
          <w:rFonts w:asciiTheme="minorHAnsi" w:eastAsia="Play" w:hAnsiTheme="minorHAnsi" w:cs="Play"/>
          <w:sz w:val="20"/>
          <w:szCs w:val="20"/>
        </w:rPr>
        <w:t>Moko</w:t>
      </w:r>
      <w:proofErr w:type="spellEnd"/>
      <w:r w:rsidRPr="00ED667B">
        <w:rPr>
          <w:rFonts w:asciiTheme="minorHAnsi" w:eastAsia="Play" w:hAnsiTheme="minorHAnsi" w:cs="Play"/>
          <w:sz w:val="20"/>
          <w:szCs w:val="20"/>
        </w:rPr>
        <w:t xml:space="preserve"> Mead </w:t>
      </w:r>
      <w:r w:rsidRPr="00ED667B">
        <w:rPr>
          <w:rFonts w:asciiTheme="minorHAnsi" w:eastAsia="Play" w:hAnsiTheme="minorHAnsi" w:cs="Play"/>
          <w:i/>
          <w:sz w:val="20"/>
          <w:szCs w:val="20"/>
        </w:rPr>
        <w:t>Tikanga Māori: Living by Māori Values</w:t>
      </w:r>
      <w:r w:rsidRPr="00ED667B">
        <w:rPr>
          <w:rFonts w:asciiTheme="minorHAnsi" w:eastAsia="Play" w:hAnsiTheme="minorHAnsi" w:cs="Play"/>
          <w:sz w:val="20"/>
          <w:szCs w:val="20"/>
        </w:rPr>
        <w:t xml:space="preserve"> (Huia Publishers, Wellington, 2003) at 11</w:t>
      </w:r>
      <w:r w:rsidR="00330A9A" w:rsidRPr="00ED667B">
        <w:rPr>
          <w:rFonts w:asciiTheme="minorHAnsi" w:eastAsia="Play" w:hAnsiTheme="minorHAnsi" w:cs="Play"/>
          <w:sz w:val="20"/>
          <w:szCs w:val="20"/>
        </w:rPr>
        <w:t>.</w:t>
      </w:r>
    </w:p>
  </w:footnote>
  <w:footnote w:id="16">
    <w:p w14:paraId="36CB81A2" w14:textId="1CBF8377" w:rsidR="007810B4" w:rsidRPr="00ED667B" w:rsidRDefault="007810B4" w:rsidP="0029563D">
      <w:pPr>
        <w:pBdr>
          <w:top w:val="nil"/>
          <w:left w:val="nil"/>
          <w:bottom w:val="nil"/>
          <w:right w:val="nil"/>
          <w:between w:val="nil"/>
        </w:pBdr>
        <w:jc w:val="both"/>
        <w:rPr>
          <w:rFonts w:asciiTheme="minorHAnsi" w:eastAsia="Play" w:hAnsiTheme="minorHAnsi" w:cs="Play"/>
          <w:color w:val="000000"/>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color w:val="000000"/>
          <w:sz w:val="20"/>
          <w:szCs w:val="20"/>
        </w:rPr>
        <w:t xml:space="preserve"> Translations taken from </w:t>
      </w:r>
      <w:proofErr w:type="spellStart"/>
      <w:r w:rsidR="00330A9A" w:rsidRPr="00ED667B">
        <w:rPr>
          <w:rFonts w:asciiTheme="minorHAnsi" w:eastAsia="Play" w:hAnsiTheme="minorHAnsi" w:cs="Play"/>
          <w:color w:val="000000"/>
          <w:sz w:val="20"/>
          <w:szCs w:val="20"/>
        </w:rPr>
        <w:t>Te</w:t>
      </w:r>
      <w:proofErr w:type="spellEnd"/>
      <w:r w:rsidR="00330A9A" w:rsidRPr="00ED667B">
        <w:rPr>
          <w:rFonts w:asciiTheme="minorHAnsi" w:eastAsia="Play" w:hAnsiTheme="minorHAnsi" w:cs="Play"/>
          <w:color w:val="000000"/>
          <w:sz w:val="20"/>
          <w:szCs w:val="20"/>
        </w:rPr>
        <w:t xml:space="preserve"> Aka </w:t>
      </w:r>
      <w:r w:rsidRPr="00ED667B">
        <w:rPr>
          <w:rFonts w:asciiTheme="minorHAnsi" w:eastAsia="Play" w:hAnsiTheme="minorHAnsi" w:cs="Play"/>
          <w:color w:val="000000"/>
          <w:sz w:val="20"/>
          <w:szCs w:val="20"/>
        </w:rPr>
        <w:t>Māori Dictionary at &lt;www.</w:t>
      </w:r>
      <w:r w:rsidR="00330A9A" w:rsidRPr="00ED667B">
        <w:rPr>
          <w:rFonts w:asciiTheme="minorHAnsi" w:eastAsia="Play" w:hAnsiTheme="minorHAnsi" w:cs="Play"/>
          <w:color w:val="000000"/>
          <w:sz w:val="20"/>
          <w:szCs w:val="20"/>
        </w:rPr>
        <w:t>m</w:t>
      </w:r>
      <w:r w:rsidRPr="00ED667B">
        <w:rPr>
          <w:rFonts w:asciiTheme="minorHAnsi" w:eastAsia="Play" w:hAnsiTheme="minorHAnsi" w:cs="Play"/>
          <w:color w:val="000000"/>
          <w:sz w:val="20"/>
          <w:szCs w:val="20"/>
        </w:rPr>
        <w:t>āoridictionary.co.nz&gt;</w:t>
      </w:r>
    </w:p>
  </w:footnote>
  <w:footnote w:id="17">
    <w:p w14:paraId="3839033C" w14:textId="40AD20E0" w:rsidR="007810B4" w:rsidRPr="00ED667B" w:rsidRDefault="007810B4" w:rsidP="0029563D">
      <w:pPr>
        <w:jc w:val="both"/>
        <w:rPr>
          <w:rFonts w:asciiTheme="minorHAnsi" w:eastAsia="Play" w:hAnsiTheme="minorHAnsi" w:cs="Play"/>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sz w:val="20"/>
          <w:szCs w:val="20"/>
        </w:rPr>
        <w:t xml:space="preserve"> For more detail on the content of tikanga Māori see, for example Mead, above n </w:t>
      </w:r>
      <w:r w:rsidR="00330A9A" w:rsidRPr="00ED667B">
        <w:rPr>
          <w:rFonts w:asciiTheme="minorHAnsi" w:eastAsia="Play" w:hAnsiTheme="minorHAnsi" w:cs="Play"/>
          <w:sz w:val="20"/>
          <w:szCs w:val="20"/>
        </w:rPr>
        <w:fldChar w:fldCharType="begin"/>
      </w:r>
      <w:r w:rsidR="00330A9A" w:rsidRPr="00ED667B">
        <w:rPr>
          <w:rFonts w:asciiTheme="minorHAnsi" w:eastAsia="Play" w:hAnsiTheme="minorHAnsi" w:cs="Play"/>
          <w:sz w:val="20"/>
          <w:szCs w:val="20"/>
        </w:rPr>
        <w:instrText xml:space="preserve"> NOTEREF _Ref190953002 \h </w:instrText>
      </w:r>
      <w:r w:rsidR="00ED667B">
        <w:rPr>
          <w:rFonts w:asciiTheme="minorHAnsi" w:eastAsia="Play" w:hAnsiTheme="minorHAnsi" w:cs="Play"/>
          <w:sz w:val="20"/>
          <w:szCs w:val="20"/>
        </w:rPr>
        <w:instrText xml:space="preserve"> \* MERGEFORMAT </w:instrText>
      </w:r>
      <w:r w:rsidR="00330A9A" w:rsidRPr="00ED667B">
        <w:rPr>
          <w:rFonts w:asciiTheme="minorHAnsi" w:eastAsia="Play" w:hAnsiTheme="minorHAnsi" w:cs="Play"/>
          <w:sz w:val="20"/>
          <w:szCs w:val="20"/>
        </w:rPr>
      </w:r>
      <w:r w:rsidR="00330A9A" w:rsidRPr="00ED667B">
        <w:rPr>
          <w:rFonts w:asciiTheme="minorHAnsi" w:eastAsia="Play" w:hAnsiTheme="minorHAnsi" w:cs="Play"/>
          <w:sz w:val="20"/>
          <w:szCs w:val="20"/>
        </w:rPr>
        <w:fldChar w:fldCharType="separate"/>
      </w:r>
      <w:r w:rsidR="00330A9A" w:rsidRPr="00ED667B">
        <w:rPr>
          <w:rFonts w:asciiTheme="minorHAnsi" w:eastAsia="Play" w:hAnsiTheme="minorHAnsi" w:cs="Play"/>
          <w:sz w:val="20"/>
          <w:szCs w:val="20"/>
        </w:rPr>
        <w:t>15</w:t>
      </w:r>
      <w:r w:rsidR="00330A9A" w:rsidRPr="00ED667B">
        <w:rPr>
          <w:rFonts w:asciiTheme="minorHAnsi" w:eastAsia="Play" w:hAnsiTheme="minorHAnsi" w:cs="Play"/>
          <w:sz w:val="20"/>
          <w:szCs w:val="20"/>
        </w:rPr>
        <w:fldChar w:fldCharType="end"/>
      </w:r>
      <w:r w:rsidRPr="00ED667B">
        <w:rPr>
          <w:rFonts w:asciiTheme="minorHAnsi" w:eastAsia="Play" w:hAnsiTheme="minorHAnsi" w:cs="Play"/>
          <w:sz w:val="20"/>
          <w:szCs w:val="20"/>
        </w:rPr>
        <w:t xml:space="preserve">; Law Commission </w:t>
      </w:r>
      <w:r w:rsidRPr="00ED667B">
        <w:rPr>
          <w:rFonts w:asciiTheme="minorHAnsi" w:eastAsia="Play" w:hAnsiTheme="minorHAnsi" w:cs="Play"/>
          <w:i/>
          <w:sz w:val="20"/>
          <w:szCs w:val="20"/>
        </w:rPr>
        <w:t>Māori Custom and Values in New Zealand</w:t>
      </w:r>
      <w:r w:rsidRPr="00ED667B">
        <w:rPr>
          <w:rFonts w:asciiTheme="minorHAnsi" w:eastAsia="Play" w:hAnsiTheme="minorHAnsi" w:cs="Play"/>
          <w:sz w:val="20"/>
          <w:szCs w:val="20"/>
        </w:rPr>
        <w:t xml:space="preserve"> (NZLC SP9, 2001); and Cleve Barlow </w:t>
      </w:r>
      <w:r w:rsidRPr="00ED667B">
        <w:rPr>
          <w:rFonts w:asciiTheme="minorHAnsi" w:eastAsia="Play" w:hAnsiTheme="minorHAnsi" w:cs="Play"/>
          <w:i/>
          <w:sz w:val="20"/>
          <w:szCs w:val="20"/>
        </w:rPr>
        <w:t xml:space="preserve">Tikanga </w:t>
      </w:r>
      <w:proofErr w:type="spellStart"/>
      <w:r w:rsidRPr="00ED667B">
        <w:rPr>
          <w:rFonts w:asciiTheme="minorHAnsi" w:eastAsia="Play" w:hAnsiTheme="minorHAnsi" w:cs="Play"/>
          <w:i/>
          <w:sz w:val="20"/>
          <w:szCs w:val="20"/>
        </w:rPr>
        <w:t>Whakaaro</w:t>
      </w:r>
      <w:proofErr w:type="spellEnd"/>
      <w:r w:rsidRPr="00ED667B">
        <w:rPr>
          <w:rFonts w:asciiTheme="minorHAnsi" w:eastAsia="Play" w:hAnsiTheme="minorHAnsi" w:cs="Play"/>
          <w:i/>
          <w:sz w:val="20"/>
          <w:szCs w:val="20"/>
        </w:rPr>
        <w:t xml:space="preserve">: Key </w:t>
      </w:r>
      <w:r w:rsidR="001C3C98" w:rsidRPr="00ED667B">
        <w:rPr>
          <w:rFonts w:asciiTheme="minorHAnsi" w:eastAsia="Play" w:hAnsiTheme="minorHAnsi" w:cs="Play"/>
          <w:i/>
          <w:sz w:val="20"/>
          <w:szCs w:val="20"/>
        </w:rPr>
        <w:t>C</w:t>
      </w:r>
      <w:r w:rsidRPr="00ED667B">
        <w:rPr>
          <w:rFonts w:asciiTheme="minorHAnsi" w:eastAsia="Play" w:hAnsiTheme="minorHAnsi" w:cs="Play"/>
          <w:i/>
          <w:sz w:val="20"/>
          <w:szCs w:val="20"/>
        </w:rPr>
        <w:t>oncepts in Māori Culture</w:t>
      </w:r>
      <w:r w:rsidRPr="00ED667B">
        <w:rPr>
          <w:rFonts w:asciiTheme="minorHAnsi" w:eastAsia="Play" w:hAnsiTheme="minorHAnsi" w:cs="Play"/>
          <w:sz w:val="20"/>
          <w:szCs w:val="20"/>
        </w:rPr>
        <w:t xml:space="preserve"> (Oxford University Press, Auckland, 1991).</w:t>
      </w:r>
    </w:p>
  </w:footnote>
  <w:footnote w:id="18">
    <w:p w14:paraId="3BAE8D9B" w14:textId="275D8BC8" w:rsidR="00E92F93" w:rsidRPr="000C081F" w:rsidRDefault="00E92F93">
      <w:pPr>
        <w:pStyle w:val="FootnoteText"/>
        <w:rPr>
          <w:lang w:val="mi-NZ"/>
        </w:rPr>
      </w:pPr>
      <w:r>
        <w:rPr>
          <w:rStyle w:val="FootnoteReference"/>
        </w:rPr>
        <w:footnoteRef/>
      </w:r>
      <w:r>
        <w:t xml:space="preserve"> </w:t>
      </w:r>
      <w:r>
        <w:rPr>
          <w:lang w:val="mi-NZ"/>
        </w:rPr>
        <w:t>Resource Management Act 1991, s 8.</w:t>
      </w:r>
    </w:p>
  </w:footnote>
  <w:footnote w:id="19">
    <w:p w14:paraId="51670150" w14:textId="30F86F2E" w:rsidR="00965749" w:rsidRPr="000C081F" w:rsidRDefault="00965749">
      <w:pPr>
        <w:pStyle w:val="FootnoteText"/>
        <w:rPr>
          <w:lang w:val="mi-NZ"/>
        </w:rPr>
      </w:pPr>
      <w:r>
        <w:rPr>
          <w:rStyle w:val="FootnoteReference"/>
        </w:rPr>
        <w:footnoteRef/>
      </w:r>
      <w:r>
        <w:t xml:space="preserve"> </w:t>
      </w:r>
      <w:r w:rsidRPr="000C081F">
        <w:rPr>
          <w:i/>
          <w:iCs/>
        </w:rPr>
        <w:t xml:space="preserve">Watercare Services v </w:t>
      </w:r>
      <w:proofErr w:type="spellStart"/>
      <w:r w:rsidRPr="000C081F">
        <w:rPr>
          <w:i/>
          <w:iCs/>
        </w:rPr>
        <w:t>Minhinnick</w:t>
      </w:r>
      <w:proofErr w:type="spellEnd"/>
      <w:r>
        <w:t xml:space="preserve"> </w:t>
      </w:r>
      <w:r w:rsidRPr="00965749">
        <w:t>[1998] NZRMA 113</w:t>
      </w:r>
      <w:r>
        <w:t>,</w:t>
      </w:r>
      <w:r w:rsidRPr="00965749">
        <w:t xml:space="preserve"> [1998] 1 NZLR 294</w:t>
      </w:r>
      <w:r>
        <w:t>.</w:t>
      </w:r>
    </w:p>
  </w:footnote>
  <w:footnote w:id="20">
    <w:p w14:paraId="2198834B" w14:textId="1D19161E" w:rsidR="00FB183C" w:rsidRPr="000C081F" w:rsidRDefault="00FB183C">
      <w:pPr>
        <w:pStyle w:val="FootnoteText"/>
        <w:rPr>
          <w:lang w:val="mi-NZ"/>
        </w:rPr>
      </w:pPr>
      <w:r>
        <w:rPr>
          <w:rStyle w:val="FootnoteReference"/>
        </w:rPr>
        <w:footnoteRef/>
      </w:r>
      <w:r>
        <w:t xml:space="preserve"> </w:t>
      </w:r>
      <w:r w:rsidRPr="000C081F">
        <w:rPr>
          <w:i/>
          <w:iCs/>
        </w:rPr>
        <w:t>Ng</w:t>
      </w:r>
      <w:r>
        <w:rPr>
          <w:i/>
          <w:iCs/>
        </w:rPr>
        <w:t>ā</w:t>
      </w:r>
      <w:r w:rsidRPr="000C081F">
        <w:rPr>
          <w:i/>
          <w:iCs/>
        </w:rPr>
        <w:t>ti Rangi v Manawatu-W</w:t>
      </w:r>
      <w:r>
        <w:rPr>
          <w:i/>
          <w:iCs/>
        </w:rPr>
        <w:t>h</w:t>
      </w:r>
      <w:r w:rsidRPr="000C081F">
        <w:rPr>
          <w:i/>
          <w:iCs/>
        </w:rPr>
        <w:t>anganui Regional Council</w:t>
      </w:r>
      <w:r>
        <w:t xml:space="preserve"> </w:t>
      </w:r>
      <w:r w:rsidRPr="00FB183C">
        <w:t>[2016] NZHC 2948</w:t>
      </w:r>
      <w:r w:rsidR="00446D8E">
        <w:t>.</w:t>
      </w:r>
    </w:p>
  </w:footnote>
  <w:footnote w:id="21">
    <w:p w14:paraId="357B0E5E" w14:textId="692AB078" w:rsidR="00EC2B5E" w:rsidRPr="000C081F" w:rsidRDefault="00EC2B5E">
      <w:pPr>
        <w:pStyle w:val="FootnoteText"/>
        <w:rPr>
          <w:lang w:val="mi-NZ"/>
        </w:rPr>
      </w:pPr>
      <w:r>
        <w:rPr>
          <w:rStyle w:val="FootnoteReference"/>
        </w:rPr>
        <w:footnoteRef/>
      </w:r>
      <w:r>
        <w:t xml:space="preserve"> </w:t>
      </w:r>
      <w:r w:rsidRPr="000C081F">
        <w:rPr>
          <w:i/>
          <w:iCs/>
        </w:rPr>
        <w:t>Friends and Community of Ngawha Inc v Minister of Corrections</w:t>
      </w:r>
      <w:r w:rsidRPr="00EC2B5E">
        <w:t xml:space="preserve"> [2002] NZRMA 401</w:t>
      </w:r>
      <w:r w:rsidR="00D76052">
        <w:t xml:space="preserve">, </w:t>
      </w:r>
      <w:r w:rsidR="00D76052" w:rsidRPr="00D76052">
        <w:t>[2002] BCL 757</w:t>
      </w:r>
      <w:r>
        <w:t>.</w:t>
      </w:r>
    </w:p>
  </w:footnote>
  <w:footnote w:id="22">
    <w:p w14:paraId="7B6F79A1" w14:textId="3CB8D098" w:rsidR="00500C6E" w:rsidRPr="000C081F" w:rsidRDefault="00500C6E">
      <w:pPr>
        <w:pStyle w:val="FootnoteText"/>
        <w:rPr>
          <w:lang w:val="mi-NZ"/>
        </w:rPr>
      </w:pPr>
      <w:r>
        <w:rPr>
          <w:rStyle w:val="FootnoteReference"/>
        </w:rPr>
        <w:footnoteRef/>
      </w:r>
      <w:r>
        <w:t xml:space="preserve"> </w:t>
      </w:r>
      <w:r w:rsidRPr="000C081F">
        <w:rPr>
          <w:i/>
          <w:iCs/>
        </w:rPr>
        <w:t>R v Mason</w:t>
      </w:r>
      <w:r>
        <w:t xml:space="preserve"> </w:t>
      </w:r>
      <w:r w:rsidRPr="00500C6E">
        <w:t>[2012] NZHC 1361</w:t>
      </w:r>
      <w:r>
        <w:t>,</w:t>
      </w:r>
      <w:r w:rsidRPr="00500C6E">
        <w:t xml:space="preserve"> [2012] 2 NZLR 695</w:t>
      </w:r>
      <w:r w:rsidR="001C7E3A">
        <w:t>.</w:t>
      </w:r>
    </w:p>
  </w:footnote>
  <w:footnote w:id="23">
    <w:p w14:paraId="523D16F1" w14:textId="281887CB" w:rsidR="00F85579" w:rsidRPr="000C081F" w:rsidRDefault="00F85579">
      <w:pPr>
        <w:pStyle w:val="FootnoteText"/>
        <w:rPr>
          <w:lang w:val="mi-NZ"/>
        </w:rPr>
      </w:pPr>
      <w:r>
        <w:rPr>
          <w:rStyle w:val="FootnoteReference"/>
        </w:rPr>
        <w:footnoteRef/>
      </w:r>
      <w:r>
        <w:t xml:space="preserve"> </w:t>
      </w:r>
      <w:proofErr w:type="spellStart"/>
      <w:r w:rsidR="00FD7386" w:rsidRPr="00FD7386">
        <w:t>Te</w:t>
      </w:r>
      <w:proofErr w:type="spellEnd"/>
      <w:r w:rsidR="00FD7386" w:rsidRPr="00FD7386">
        <w:t xml:space="preserve"> </w:t>
      </w:r>
      <w:proofErr w:type="spellStart"/>
      <w:r w:rsidR="00FD7386" w:rsidRPr="00FD7386">
        <w:t>Urewera</w:t>
      </w:r>
      <w:proofErr w:type="spellEnd"/>
      <w:r w:rsidR="00FD7386" w:rsidRPr="00FD7386">
        <w:t xml:space="preserve"> Act 2014</w:t>
      </w:r>
      <w:r>
        <w:rPr>
          <w:lang w:val="mi-NZ"/>
        </w:rPr>
        <w:t>, s 20</w:t>
      </w:r>
      <w:r w:rsidR="00FD7386">
        <w:rPr>
          <w:lang w:val="mi-NZ"/>
        </w:rPr>
        <w:t>(1)</w:t>
      </w:r>
      <w:r>
        <w:rPr>
          <w:lang w:val="mi-NZ"/>
        </w:rPr>
        <w:t>.</w:t>
      </w:r>
    </w:p>
  </w:footnote>
  <w:footnote w:id="24">
    <w:p w14:paraId="181BFBD3" w14:textId="77777777" w:rsidR="00860599" w:rsidRPr="00ED667B" w:rsidRDefault="00860599" w:rsidP="00860599">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i/>
          <w:iCs/>
          <w:lang w:val="mi-NZ"/>
        </w:rPr>
        <w:t xml:space="preserve">Huakina Development Trust v Waikato Valley Authority </w:t>
      </w:r>
      <w:r w:rsidRPr="00ED667B">
        <w:rPr>
          <w:rFonts w:asciiTheme="minorHAnsi" w:hAnsiTheme="minorHAnsi"/>
          <w:lang w:val="mi-NZ"/>
        </w:rPr>
        <w:t>[1987] 2 NZLR 188.</w:t>
      </w:r>
    </w:p>
  </w:footnote>
  <w:footnote w:id="25">
    <w:p w14:paraId="62DF5047" w14:textId="3C48A7EC" w:rsidR="00737999" w:rsidRPr="000C081F" w:rsidRDefault="00737999">
      <w:pPr>
        <w:pStyle w:val="FootnoteText"/>
        <w:rPr>
          <w:lang w:val="mi-NZ"/>
        </w:rPr>
      </w:pPr>
      <w:r>
        <w:rPr>
          <w:rStyle w:val="FootnoteReference"/>
        </w:rPr>
        <w:footnoteRef/>
      </w:r>
      <w:r>
        <w:t xml:space="preserve"> </w:t>
      </w:r>
      <w:r w:rsidRPr="00737999">
        <w:t xml:space="preserve">Helen Winkelmann, Chief Justice of New Zealand </w:t>
      </w:r>
      <w:r>
        <w:t>“</w:t>
      </w:r>
      <w:r w:rsidRPr="00737999">
        <w:t>Renovating the House of the Law</w:t>
      </w:r>
      <w:r>
        <w:t>”</w:t>
      </w:r>
      <w:r w:rsidRPr="00737999">
        <w:t xml:space="preserve"> (keynote speech to </w:t>
      </w:r>
      <w:proofErr w:type="spellStart"/>
      <w:r w:rsidRPr="00737999">
        <w:t>te</w:t>
      </w:r>
      <w:proofErr w:type="spellEnd"/>
      <w:r w:rsidRPr="00737999">
        <w:t xml:space="preserve"> </w:t>
      </w:r>
      <w:proofErr w:type="spellStart"/>
      <w:r w:rsidRPr="00737999">
        <w:t>Hūnga</w:t>
      </w:r>
      <w:proofErr w:type="spellEnd"/>
      <w:r w:rsidRPr="00737999">
        <w:t xml:space="preserve"> </w:t>
      </w:r>
      <w:proofErr w:type="spellStart"/>
      <w:r w:rsidRPr="00737999">
        <w:t>Rōia</w:t>
      </w:r>
      <w:proofErr w:type="spellEnd"/>
      <w:r w:rsidRPr="00737999">
        <w:t xml:space="preserve"> Māori o Aotearoa, Wellington, 29 August 2019)</w:t>
      </w:r>
    </w:p>
  </w:footnote>
  <w:footnote w:id="26">
    <w:p w14:paraId="01411FE3" w14:textId="7AC537E3" w:rsidR="00EB7F9B" w:rsidRPr="00ED667B" w:rsidRDefault="00EB7F9B">
      <w:pPr>
        <w:pStyle w:val="FootnoteText"/>
        <w:rPr>
          <w:rFonts w:asciiTheme="minorHAnsi" w:hAnsiTheme="minorHAnsi"/>
          <w:lang w:val="mi-NZ"/>
        </w:rPr>
      </w:pPr>
      <w:r w:rsidRPr="00ED667B">
        <w:rPr>
          <w:rStyle w:val="FootnoteReference"/>
          <w:rFonts w:asciiTheme="minorHAnsi" w:hAnsiTheme="minorHAnsi"/>
        </w:rPr>
        <w:footnoteRef/>
      </w:r>
      <w:r w:rsidRPr="00ED667B">
        <w:rPr>
          <w:rFonts w:asciiTheme="minorHAnsi" w:hAnsiTheme="minorHAnsi"/>
        </w:rPr>
        <w:t xml:space="preserve"> </w:t>
      </w:r>
      <w:proofErr w:type="spellStart"/>
      <w:r w:rsidRPr="00ED667B">
        <w:rPr>
          <w:rFonts w:asciiTheme="minorHAnsi" w:hAnsiTheme="minorHAnsi"/>
          <w:i/>
          <w:color w:val="000000"/>
        </w:rPr>
        <w:t>Takamore</w:t>
      </w:r>
      <w:proofErr w:type="spellEnd"/>
      <w:r w:rsidRPr="00ED667B">
        <w:rPr>
          <w:rFonts w:asciiTheme="minorHAnsi" w:hAnsiTheme="minorHAnsi"/>
          <w:i/>
          <w:color w:val="000000"/>
        </w:rPr>
        <w:t xml:space="preserve"> v Clarke </w:t>
      </w:r>
      <w:r w:rsidRPr="00ED667B">
        <w:rPr>
          <w:rFonts w:asciiTheme="minorHAnsi" w:hAnsiTheme="minorHAnsi"/>
          <w:color w:val="000000"/>
        </w:rPr>
        <w:t>[2012] NZSC 116,</w:t>
      </w:r>
      <w:r w:rsidRPr="00ED667B">
        <w:rPr>
          <w:rFonts w:asciiTheme="minorHAnsi" w:hAnsiTheme="minorHAnsi"/>
          <w:i/>
          <w:color w:val="000000"/>
        </w:rPr>
        <w:t xml:space="preserve"> </w:t>
      </w:r>
      <w:r w:rsidRPr="00ED667B">
        <w:rPr>
          <w:rFonts w:asciiTheme="minorHAnsi" w:hAnsiTheme="minorHAnsi"/>
          <w:color w:val="000000"/>
        </w:rPr>
        <w:t>[2013] 2 NZLR 733 at [164].</w:t>
      </w:r>
    </w:p>
  </w:footnote>
  <w:footnote w:id="27">
    <w:p w14:paraId="7E3DF766" w14:textId="6DEE2E0F" w:rsidR="007810B4" w:rsidRPr="00ED667B" w:rsidRDefault="007810B4" w:rsidP="0029563D">
      <w:pPr>
        <w:pBdr>
          <w:top w:val="nil"/>
          <w:left w:val="nil"/>
          <w:bottom w:val="nil"/>
          <w:right w:val="nil"/>
          <w:between w:val="nil"/>
        </w:pBdr>
        <w:jc w:val="both"/>
        <w:rPr>
          <w:rFonts w:asciiTheme="minorHAnsi" w:hAnsiTheme="minorHAnsi"/>
          <w:color w:val="000000"/>
          <w:sz w:val="20"/>
          <w:szCs w:val="20"/>
        </w:rPr>
      </w:pPr>
      <w:r w:rsidRPr="00ED667B">
        <w:rPr>
          <w:rStyle w:val="FootnoteReference"/>
          <w:rFonts w:asciiTheme="minorHAnsi" w:hAnsiTheme="minorHAnsi"/>
          <w:sz w:val="20"/>
          <w:szCs w:val="20"/>
        </w:rPr>
        <w:footnoteRef/>
      </w:r>
      <w:r w:rsidRPr="00ED667B">
        <w:rPr>
          <w:rFonts w:asciiTheme="minorHAnsi" w:hAnsiTheme="minorHAnsi"/>
          <w:color w:val="000000"/>
          <w:sz w:val="20"/>
          <w:szCs w:val="20"/>
        </w:rPr>
        <w:t xml:space="preserve"> </w:t>
      </w:r>
      <w:r w:rsidR="0007162D" w:rsidRPr="00ED667B">
        <w:rPr>
          <w:rFonts w:asciiTheme="minorHAnsi" w:hAnsiTheme="minorHAnsi"/>
          <w:color w:val="000000"/>
          <w:sz w:val="20"/>
          <w:szCs w:val="20"/>
        </w:rPr>
        <w:t>At [164].</w:t>
      </w:r>
    </w:p>
  </w:footnote>
  <w:footnote w:id="28">
    <w:p w14:paraId="2A4905C2" w14:textId="3FC6E646" w:rsidR="007810B4" w:rsidRPr="00ED667B" w:rsidRDefault="007810B4" w:rsidP="0029563D">
      <w:pPr>
        <w:pBdr>
          <w:top w:val="nil"/>
          <w:left w:val="nil"/>
          <w:bottom w:val="nil"/>
          <w:right w:val="nil"/>
          <w:between w:val="nil"/>
        </w:pBdr>
        <w:jc w:val="both"/>
        <w:rPr>
          <w:rFonts w:asciiTheme="minorHAnsi" w:hAnsiTheme="minorHAnsi"/>
          <w:color w:val="000000"/>
          <w:sz w:val="20"/>
          <w:szCs w:val="20"/>
        </w:rPr>
      </w:pPr>
      <w:r w:rsidRPr="00ED667B">
        <w:rPr>
          <w:rStyle w:val="FootnoteReference"/>
          <w:rFonts w:asciiTheme="minorHAnsi" w:hAnsiTheme="minorHAnsi"/>
          <w:sz w:val="20"/>
          <w:szCs w:val="20"/>
        </w:rPr>
        <w:footnoteRef/>
      </w:r>
      <w:r w:rsidRPr="00ED667B">
        <w:rPr>
          <w:rFonts w:asciiTheme="minorHAnsi" w:hAnsiTheme="minorHAnsi"/>
          <w:color w:val="000000"/>
          <w:sz w:val="20"/>
          <w:szCs w:val="20"/>
        </w:rPr>
        <w:t xml:space="preserve"> </w:t>
      </w:r>
      <w:r w:rsidR="003A44FD" w:rsidRPr="000C081F">
        <w:rPr>
          <w:rFonts w:asciiTheme="minorHAnsi" w:hAnsiTheme="minorHAnsi"/>
          <w:iCs/>
          <w:color w:val="000000"/>
          <w:sz w:val="20"/>
          <w:szCs w:val="20"/>
        </w:rPr>
        <w:t>A</w:t>
      </w:r>
      <w:r w:rsidRPr="00ED667B">
        <w:rPr>
          <w:rFonts w:asciiTheme="minorHAnsi" w:hAnsiTheme="minorHAnsi"/>
          <w:iCs/>
          <w:color w:val="000000"/>
          <w:sz w:val="20"/>
          <w:szCs w:val="20"/>
        </w:rPr>
        <w:t>t</w:t>
      </w:r>
      <w:r w:rsidRPr="00ED667B">
        <w:rPr>
          <w:rFonts w:asciiTheme="minorHAnsi" w:hAnsiTheme="minorHAnsi"/>
          <w:color w:val="000000"/>
          <w:sz w:val="20"/>
          <w:szCs w:val="20"/>
        </w:rPr>
        <w:t xml:space="preserve"> [162].</w:t>
      </w:r>
    </w:p>
  </w:footnote>
  <w:footnote w:id="29">
    <w:p w14:paraId="4E6EA723" w14:textId="58034F26" w:rsidR="007810B4" w:rsidRPr="00ED667B" w:rsidRDefault="007810B4" w:rsidP="0029563D">
      <w:pPr>
        <w:pBdr>
          <w:top w:val="nil"/>
          <w:left w:val="nil"/>
          <w:bottom w:val="nil"/>
          <w:right w:val="nil"/>
          <w:between w:val="nil"/>
        </w:pBdr>
        <w:jc w:val="both"/>
        <w:rPr>
          <w:rFonts w:asciiTheme="minorHAnsi" w:hAnsiTheme="minorHAnsi"/>
          <w:color w:val="000000"/>
          <w:sz w:val="20"/>
          <w:szCs w:val="20"/>
        </w:rPr>
      </w:pPr>
      <w:r w:rsidRPr="00ED667B">
        <w:rPr>
          <w:rStyle w:val="FootnoteReference"/>
          <w:rFonts w:asciiTheme="minorHAnsi" w:hAnsiTheme="minorHAnsi"/>
          <w:sz w:val="20"/>
          <w:szCs w:val="20"/>
        </w:rPr>
        <w:footnoteRef/>
      </w:r>
      <w:r w:rsidRPr="00ED667B">
        <w:rPr>
          <w:rFonts w:asciiTheme="minorHAnsi" w:hAnsiTheme="minorHAnsi"/>
          <w:color w:val="000000"/>
          <w:sz w:val="20"/>
          <w:szCs w:val="20"/>
        </w:rPr>
        <w:t xml:space="preserve"> </w:t>
      </w:r>
      <w:r w:rsidR="003A44FD" w:rsidRPr="000C081F">
        <w:rPr>
          <w:rFonts w:asciiTheme="minorHAnsi" w:hAnsiTheme="minorHAnsi"/>
          <w:color w:val="000000"/>
          <w:sz w:val="20"/>
          <w:szCs w:val="20"/>
        </w:rPr>
        <w:t>A</w:t>
      </w:r>
      <w:r w:rsidRPr="00ED667B">
        <w:rPr>
          <w:rFonts w:asciiTheme="minorHAnsi" w:hAnsiTheme="minorHAnsi"/>
          <w:color w:val="000000"/>
          <w:sz w:val="20"/>
          <w:szCs w:val="20"/>
        </w:rPr>
        <w:t>t [95].</w:t>
      </w:r>
    </w:p>
  </w:footnote>
  <w:footnote w:id="30">
    <w:p w14:paraId="7F3DDB75" w14:textId="5FC5AC53" w:rsidR="00F563F6" w:rsidRPr="00ED667B" w:rsidRDefault="00F563F6" w:rsidP="002B731B">
      <w:pPr>
        <w:rPr>
          <w:i/>
          <w:sz w:val="20"/>
          <w:szCs w:val="20"/>
        </w:rPr>
      </w:pPr>
      <w:r w:rsidRPr="00ED667B">
        <w:rPr>
          <w:rStyle w:val="FootnoteReference"/>
          <w:rFonts w:asciiTheme="minorHAnsi" w:hAnsiTheme="minorHAnsi"/>
          <w:sz w:val="20"/>
          <w:szCs w:val="20"/>
        </w:rPr>
        <w:footnoteRef/>
      </w:r>
      <w:r w:rsidRPr="00ED667B">
        <w:rPr>
          <w:sz w:val="20"/>
          <w:szCs w:val="20"/>
        </w:rPr>
        <w:t xml:space="preserve"> [2021] NZSC 127.</w:t>
      </w:r>
    </w:p>
  </w:footnote>
  <w:footnote w:id="31">
    <w:p w14:paraId="6AFBDA7A" w14:textId="2FE2E0EE" w:rsidR="006D5770" w:rsidRPr="00ED667B" w:rsidRDefault="006D5770">
      <w:pPr>
        <w:pStyle w:val="FootnoteText"/>
        <w:rPr>
          <w:lang w:val="mi-NZ"/>
        </w:rPr>
      </w:pPr>
      <w:r w:rsidRPr="00ED667B">
        <w:rPr>
          <w:rStyle w:val="FootnoteReference"/>
        </w:rPr>
        <w:footnoteRef/>
      </w:r>
      <w:r w:rsidR="00204C73" w:rsidRPr="00ED667B">
        <w:rPr>
          <w:i/>
          <w:iCs/>
          <w:lang w:val="mi-NZ"/>
        </w:rPr>
        <w:t>Ellis v R (Continuance)</w:t>
      </w:r>
      <w:r w:rsidR="00204C73" w:rsidRPr="00ED667B">
        <w:rPr>
          <w:lang w:val="mi-NZ"/>
        </w:rPr>
        <w:t xml:space="preserve"> [2022] NZSC 114, [2022] 1 NZLR 239</w:t>
      </w:r>
      <w:r w:rsidRPr="00ED667B">
        <w:rPr>
          <w:lang w:val="mi-NZ"/>
        </w:rPr>
        <w:t>.</w:t>
      </w:r>
    </w:p>
  </w:footnote>
  <w:footnote w:id="32">
    <w:p w14:paraId="157A4B29" w14:textId="6892C6FA" w:rsidR="006D5770" w:rsidRPr="00ED667B" w:rsidRDefault="006D5770">
      <w:pPr>
        <w:pStyle w:val="FootnoteText"/>
        <w:rPr>
          <w:lang w:val="mi-NZ"/>
        </w:rPr>
      </w:pPr>
      <w:r w:rsidRPr="00ED667B">
        <w:rPr>
          <w:rStyle w:val="FootnoteReference"/>
        </w:rPr>
        <w:footnoteRef/>
      </w:r>
      <w:r w:rsidR="00A60E18" w:rsidRPr="00ED667B">
        <w:rPr>
          <w:lang w:val="mi-NZ"/>
        </w:rPr>
        <w:t>At [271]</w:t>
      </w:r>
      <w:r w:rsidRPr="00ED667B">
        <w:rPr>
          <w:lang w:val="mi-NZ"/>
        </w:rPr>
        <w:t>.</w:t>
      </w:r>
    </w:p>
  </w:footnote>
  <w:footnote w:id="33">
    <w:p w14:paraId="4A9D1B0A" w14:textId="78B6C712" w:rsidR="007552A9" w:rsidRPr="00917C31" w:rsidRDefault="007552A9">
      <w:pPr>
        <w:pStyle w:val="FootnoteText"/>
        <w:rPr>
          <w:lang w:val="mi-NZ"/>
        </w:rPr>
      </w:pPr>
      <w:r>
        <w:rPr>
          <w:rStyle w:val="FootnoteReference"/>
        </w:rPr>
        <w:footnoteRef/>
      </w:r>
      <w:r>
        <w:t xml:space="preserve"> </w:t>
      </w:r>
      <w:r w:rsidRPr="00ED667B">
        <w:rPr>
          <w:rFonts w:asciiTheme="minorHAnsi" w:eastAsia="Play" w:hAnsiTheme="minorHAnsi" w:cs="Play"/>
          <w:i/>
          <w:color w:val="000000"/>
        </w:rPr>
        <w:t xml:space="preserve">Ngāti </w:t>
      </w:r>
      <w:proofErr w:type="spellStart"/>
      <w:r w:rsidRPr="00ED667B">
        <w:rPr>
          <w:rFonts w:asciiTheme="minorHAnsi" w:eastAsia="Play" w:hAnsiTheme="minorHAnsi" w:cs="Play"/>
          <w:i/>
          <w:color w:val="000000"/>
        </w:rPr>
        <w:t>Whātua</w:t>
      </w:r>
      <w:proofErr w:type="spellEnd"/>
      <w:r w:rsidRPr="00ED667B">
        <w:rPr>
          <w:rFonts w:asciiTheme="minorHAnsi" w:eastAsia="Play" w:hAnsiTheme="minorHAnsi" w:cs="Play"/>
          <w:i/>
          <w:color w:val="000000"/>
        </w:rPr>
        <w:t xml:space="preserve"> </w:t>
      </w:r>
      <w:proofErr w:type="spellStart"/>
      <w:r w:rsidRPr="00ED667B">
        <w:rPr>
          <w:rFonts w:asciiTheme="minorHAnsi" w:eastAsia="Play" w:hAnsiTheme="minorHAnsi" w:cs="Play"/>
          <w:i/>
          <w:color w:val="000000"/>
        </w:rPr>
        <w:t>Ōrākei</w:t>
      </w:r>
      <w:proofErr w:type="spellEnd"/>
      <w:r w:rsidRPr="00ED667B">
        <w:rPr>
          <w:rFonts w:asciiTheme="minorHAnsi" w:eastAsia="Play" w:hAnsiTheme="minorHAnsi" w:cs="Play"/>
          <w:i/>
          <w:color w:val="000000"/>
        </w:rPr>
        <w:t xml:space="preserve"> Trust v Attorney-General (No 4)</w:t>
      </w:r>
      <w:r w:rsidRPr="00ED667B">
        <w:rPr>
          <w:rFonts w:asciiTheme="minorHAnsi" w:eastAsia="Play" w:hAnsiTheme="minorHAnsi" w:cs="Play"/>
          <w:iCs/>
          <w:color w:val="000000"/>
        </w:rPr>
        <w:t xml:space="preserve"> [2022] NZHC 843, [2022] 3 NZLR 601</w:t>
      </w:r>
      <w:r>
        <w:rPr>
          <w:rFonts w:asciiTheme="minorHAnsi" w:eastAsia="Play" w:hAnsiTheme="minorHAnsi" w:cs="Play"/>
          <w:iCs/>
          <w:color w:val="000000"/>
        </w:rPr>
        <w:t>.</w:t>
      </w:r>
    </w:p>
  </w:footnote>
  <w:footnote w:id="34">
    <w:p w14:paraId="354AFC7E" w14:textId="7E3A2E1C" w:rsidR="00FD51D8" w:rsidRPr="00ED667B" w:rsidRDefault="00FD51D8" w:rsidP="00FD51D8">
      <w:pPr>
        <w:pBdr>
          <w:top w:val="nil"/>
          <w:left w:val="nil"/>
          <w:bottom w:val="nil"/>
          <w:right w:val="nil"/>
          <w:between w:val="nil"/>
        </w:pBdr>
        <w:rPr>
          <w:rFonts w:asciiTheme="minorHAnsi" w:eastAsia="Play" w:hAnsiTheme="minorHAnsi" w:cs="Play"/>
          <w:color w:val="000000"/>
          <w:sz w:val="20"/>
          <w:szCs w:val="20"/>
        </w:rPr>
      </w:pPr>
      <w:r w:rsidRPr="00ED667B">
        <w:rPr>
          <w:rStyle w:val="FootnoteReference"/>
          <w:rFonts w:asciiTheme="minorHAnsi" w:hAnsiTheme="minorHAnsi"/>
          <w:sz w:val="20"/>
          <w:szCs w:val="20"/>
        </w:rPr>
        <w:footnoteRef/>
      </w:r>
      <w:r w:rsidRPr="00ED667B">
        <w:rPr>
          <w:rFonts w:asciiTheme="minorHAnsi" w:eastAsia="Play" w:hAnsiTheme="minorHAnsi" w:cs="Play"/>
          <w:color w:val="000000"/>
          <w:sz w:val="20"/>
          <w:szCs w:val="20"/>
        </w:rPr>
        <w:t xml:space="preserve"> </w:t>
      </w:r>
      <w:r w:rsidR="007552A9" w:rsidRPr="000C081F">
        <w:rPr>
          <w:rFonts w:asciiTheme="minorHAnsi" w:eastAsia="Play" w:hAnsiTheme="minorHAnsi" w:cs="Play"/>
          <w:iCs/>
          <w:color w:val="000000"/>
          <w:sz w:val="20"/>
          <w:szCs w:val="20"/>
        </w:rPr>
        <w:t>A</w:t>
      </w:r>
      <w:r w:rsidRPr="007552A9">
        <w:rPr>
          <w:rFonts w:asciiTheme="minorHAnsi" w:eastAsia="Play" w:hAnsiTheme="minorHAnsi" w:cs="Play"/>
          <w:iCs/>
          <w:color w:val="000000"/>
          <w:sz w:val="20"/>
          <w:szCs w:val="20"/>
        </w:rPr>
        <w:t>t</w:t>
      </w:r>
      <w:r w:rsidRPr="00ED667B">
        <w:rPr>
          <w:rFonts w:asciiTheme="minorHAnsi" w:eastAsia="Play" w:hAnsiTheme="minorHAnsi" w:cs="Play"/>
          <w:color w:val="000000"/>
          <w:sz w:val="20"/>
          <w:szCs w:val="20"/>
        </w:rPr>
        <w:t xml:space="preserve"> </w:t>
      </w:r>
      <w:r w:rsidR="008E1BDF" w:rsidRPr="00ED667B">
        <w:rPr>
          <w:rFonts w:asciiTheme="minorHAnsi" w:eastAsia="Play" w:hAnsiTheme="minorHAnsi" w:cs="Play"/>
          <w:color w:val="000000"/>
          <w:sz w:val="20"/>
          <w:szCs w:val="20"/>
        </w:rPr>
        <w:t>[33]</w:t>
      </w:r>
      <w:r w:rsidRPr="00ED667B">
        <w:rPr>
          <w:rFonts w:asciiTheme="minorHAnsi" w:eastAsia="Play" w:hAnsiTheme="minorHAnsi" w:cs="Play"/>
          <w:color w:val="000000"/>
          <w:sz w:val="20"/>
          <w:szCs w:val="20"/>
        </w:rPr>
        <w:t>.</w:t>
      </w:r>
    </w:p>
  </w:footnote>
  <w:footnote w:id="35">
    <w:p w14:paraId="395819FE" w14:textId="1907EC93" w:rsidR="00C27FF3" w:rsidRPr="00ED667B" w:rsidRDefault="00C27FF3">
      <w:pPr>
        <w:pStyle w:val="FootnoteText"/>
        <w:rPr>
          <w:lang w:val="mi-NZ"/>
        </w:rPr>
      </w:pPr>
      <w:r w:rsidRPr="00ED667B">
        <w:rPr>
          <w:rStyle w:val="FootnoteReference"/>
        </w:rPr>
        <w:footnoteRef/>
      </w:r>
      <w:r w:rsidRPr="00ED667B">
        <w:t xml:space="preserve"> </w:t>
      </w:r>
      <w:r w:rsidR="00573510" w:rsidRPr="00ED667B">
        <w:rPr>
          <w:lang w:val="mi-NZ"/>
        </w:rPr>
        <w:t>At [65].</w:t>
      </w:r>
    </w:p>
  </w:footnote>
  <w:footnote w:id="36">
    <w:p w14:paraId="3463F98C" w14:textId="77777777" w:rsidR="00F80250" w:rsidRPr="00ED667B" w:rsidRDefault="00F80250" w:rsidP="00F80250">
      <w:pPr>
        <w:rPr>
          <w:sz w:val="20"/>
          <w:szCs w:val="20"/>
          <w:lang w:val="mi-NZ"/>
        </w:rPr>
      </w:pPr>
      <w:r w:rsidRPr="00ED667B">
        <w:rPr>
          <w:rStyle w:val="FootnoteReference"/>
          <w:sz w:val="20"/>
          <w:szCs w:val="20"/>
        </w:rPr>
        <w:footnoteRef/>
      </w:r>
      <w:r w:rsidRPr="00ED667B">
        <w:rPr>
          <w:sz w:val="20"/>
          <w:szCs w:val="20"/>
        </w:rPr>
        <w:t xml:space="preserve"> [2021] NZHC 1025, [2022] 2 NZLR 772.</w:t>
      </w:r>
    </w:p>
  </w:footnote>
  <w:footnote w:id="37">
    <w:p w14:paraId="7403593B" w14:textId="1E06D952" w:rsidR="00342F17" w:rsidRPr="00ED667B" w:rsidRDefault="00342F17" w:rsidP="002B731B">
      <w:pPr>
        <w:rPr>
          <w:sz w:val="20"/>
          <w:szCs w:val="20"/>
          <w:lang w:val="mi-NZ"/>
        </w:rPr>
      </w:pPr>
      <w:r w:rsidRPr="00ED667B">
        <w:rPr>
          <w:rStyle w:val="FootnoteReference"/>
          <w:sz w:val="20"/>
          <w:szCs w:val="20"/>
        </w:rPr>
        <w:footnoteRef/>
      </w:r>
      <w:r w:rsidR="004A09FF" w:rsidRPr="00ED667B">
        <w:rPr>
          <w:sz w:val="20"/>
          <w:szCs w:val="20"/>
          <w:lang w:val="mi-NZ"/>
        </w:rPr>
        <w:t>Marine and Coastal Area (Takutai Moana) Act 2011, s 58</w:t>
      </w:r>
      <w:r w:rsidRPr="00ED667B">
        <w:rPr>
          <w:sz w:val="20"/>
          <w:szCs w:val="20"/>
          <w:lang w:val="mi-NZ"/>
        </w:rPr>
        <w:t>.</w:t>
      </w:r>
    </w:p>
  </w:footnote>
  <w:footnote w:id="38">
    <w:p w14:paraId="6698D025" w14:textId="334555BE" w:rsidR="00342F17" w:rsidRPr="00ED667B" w:rsidRDefault="00342F17" w:rsidP="002B731B">
      <w:pPr>
        <w:rPr>
          <w:sz w:val="20"/>
          <w:szCs w:val="20"/>
          <w:lang w:val="mi-NZ"/>
        </w:rPr>
      </w:pPr>
      <w:r w:rsidRPr="00ED667B">
        <w:rPr>
          <w:rStyle w:val="FootnoteReference"/>
          <w:sz w:val="20"/>
          <w:szCs w:val="20"/>
        </w:rPr>
        <w:footnoteRef/>
      </w:r>
      <w:r w:rsidR="00246AF8" w:rsidRPr="00ED667B">
        <w:rPr>
          <w:i/>
          <w:iCs/>
          <w:sz w:val="20"/>
          <w:szCs w:val="20"/>
          <w:lang w:val="mi-NZ"/>
        </w:rPr>
        <w:t>Re Edwards Whakatohea</w:t>
      </w:r>
      <w:r w:rsidR="004C4997" w:rsidRPr="00ED667B">
        <w:rPr>
          <w:sz w:val="20"/>
          <w:szCs w:val="20"/>
          <w:lang w:val="mi-NZ"/>
        </w:rPr>
        <w:t xml:space="preserve">, above n </w:t>
      </w:r>
      <w:r w:rsidR="004C4997" w:rsidRPr="00ED667B">
        <w:rPr>
          <w:sz w:val="20"/>
          <w:szCs w:val="20"/>
          <w:lang w:val="mi-NZ"/>
        </w:rPr>
        <w:fldChar w:fldCharType="begin"/>
      </w:r>
      <w:r w:rsidR="004C4997" w:rsidRPr="00ED667B">
        <w:rPr>
          <w:sz w:val="20"/>
          <w:szCs w:val="20"/>
          <w:lang w:val="mi-NZ"/>
        </w:rPr>
        <w:instrText xml:space="preserve"> NOTEREF _Ref190955133 \h </w:instrText>
      </w:r>
      <w:r w:rsidR="00ED667B">
        <w:rPr>
          <w:sz w:val="20"/>
          <w:szCs w:val="20"/>
          <w:lang w:val="mi-NZ"/>
        </w:rPr>
        <w:instrText xml:space="preserve"> \* MERGEFORMAT </w:instrText>
      </w:r>
      <w:r w:rsidR="004C4997" w:rsidRPr="00ED667B">
        <w:rPr>
          <w:sz w:val="20"/>
          <w:szCs w:val="20"/>
          <w:lang w:val="mi-NZ"/>
        </w:rPr>
      </w:r>
      <w:r w:rsidR="004C4997" w:rsidRPr="00ED667B">
        <w:rPr>
          <w:sz w:val="20"/>
          <w:szCs w:val="20"/>
          <w:lang w:val="mi-NZ"/>
        </w:rPr>
        <w:fldChar w:fldCharType="separate"/>
      </w:r>
      <w:r w:rsidR="004C4997" w:rsidRPr="00ED667B">
        <w:rPr>
          <w:sz w:val="20"/>
          <w:szCs w:val="20"/>
          <w:lang w:val="mi-NZ"/>
        </w:rPr>
        <w:t>28</w:t>
      </w:r>
      <w:r w:rsidR="004C4997" w:rsidRPr="00ED667B">
        <w:rPr>
          <w:sz w:val="20"/>
          <w:szCs w:val="20"/>
          <w:lang w:val="mi-NZ"/>
        </w:rPr>
        <w:fldChar w:fldCharType="end"/>
      </w:r>
      <w:r w:rsidR="004C4997" w:rsidRPr="00ED667B">
        <w:rPr>
          <w:sz w:val="20"/>
          <w:szCs w:val="20"/>
          <w:lang w:val="mi-NZ"/>
        </w:rPr>
        <w:t>,</w:t>
      </w:r>
      <w:r w:rsidR="00246AF8" w:rsidRPr="00ED667B">
        <w:rPr>
          <w:i/>
          <w:iCs/>
          <w:sz w:val="20"/>
          <w:szCs w:val="20"/>
          <w:lang w:val="mi-NZ"/>
        </w:rPr>
        <w:t xml:space="preserve"> </w:t>
      </w:r>
      <w:r w:rsidR="00246AF8" w:rsidRPr="000C081F">
        <w:rPr>
          <w:sz w:val="20"/>
          <w:szCs w:val="20"/>
          <w:lang w:val="mi-NZ"/>
        </w:rPr>
        <w:t>a</w:t>
      </w:r>
      <w:r w:rsidR="00246AF8" w:rsidRPr="00ED667B">
        <w:rPr>
          <w:sz w:val="20"/>
          <w:szCs w:val="20"/>
          <w:lang w:val="mi-NZ"/>
        </w:rPr>
        <w:t>t [128] – [130]</w:t>
      </w:r>
      <w:r w:rsidRPr="00ED667B">
        <w:rPr>
          <w:sz w:val="20"/>
          <w:szCs w:val="20"/>
          <w:lang w:val="mi-NZ"/>
        </w:rPr>
        <w:t>.</w:t>
      </w:r>
    </w:p>
  </w:footnote>
  <w:footnote w:id="39">
    <w:p w14:paraId="6013BD4F" w14:textId="32A2E9FF" w:rsidR="0034701E" w:rsidRPr="00ED667B" w:rsidRDefault="0034701E">
      <w:pPr>
        <w:pStyle w:val="FootnoteText"/>
        <w:rPr>
          <w:lang w:val="mi-NZ"/>
        </w:rPr>
      </w:pPr>
      <w:r w:rsidRPr="00ED667B">
        <w:rPr>
          <w:rStyle w:val="FootnoteReference"/>
        </w:rPr>
        <w:footnoteRef/>
      </w:r>
      <w:r w:rsidR="00B877B2" w:rsidRPr="00ED667B">
        <w:t xml:space="preserve"> </w:t>
      </w:r>
      <w:r w:rsidR="00B877B2" w:rsidRPr="000C081F">
        <w:rPr>
          <w:i/>
          <w:iCs/>
          <w:lang w:val="mi-NZ"/>
        </w:rPr>
        <w:t>Public Trustee v Loasby</w:t>
      </w:r>
      <w:r w:rsidR="00B877B2" w:rsidRPr="00ED667B">
        <w:rPr>
          <w:lang w:val="mi-NZ"/>
        </w:rPr>
        <w:t xml:space="preserve"> (1908) 27 NZLR 801</w:t>
      </w:r>
      <w:r w:rsidR="002E017A" w:rsidRPr="00ED667B">
        <w:rPr>
          <w:lang w:val="mi-NZ"/>
        </w:rPr>
        <w:t xml:space="preserve"> at 806</w:t>
      </w:r>
      <w:r w:rsidRPr="00ED667B">
        <w:rPr>
          <w:lang w:val="mi-NZ"/>
        </w:rPr>
        <w:t>.</w:t>
      </w:r>
    </w:p>
  </w:footnote>
  <w:footnote w:id="40">
    <w:p w14:paraId="15203F27" w14:textId="0CCB4E1A" w:rsidR="00913287" w:rsidRPr="00ED667B" w:rsidRDefault="00913287" w:rsidP="000C081F">
      <w:pPr>
        <w:rPr>
          <w:lang w:val="mi-NZ"/>
        </w:rPr>
      </w:pPr>
      <w:r w:rsidRPr="00ED667B">
        <w:rPr>
          <w:rStyle w:val="FootnoteReference"/>
          <w:sz w:val="20"/>
          <w:szCs w:val="20"/>
        </w:rPr>
        <w:footnoteRef/>
      </w:r>
      <w:r w:rsidR="003C602E" w:rsidRPr="00ED667B">
        <w:rPr>
          <w:sz w:val="20"/>
          <w:szCs w:val="20"/>
          <w:lang w:val="mi-NZ"/>
        </w:rPr>
        <w:t xml:space="preserve">See Expert Mechanism on the Rights of Indigenous Peoples </w:t>
      </w:r>
      <w:r w:rsidR="003C602E" w:rsidRPr="000C081F">
        <w:rPr>
          <w:i/>
          <w:iCs/>
          <w:sz w:val="20"/>
          <w:szCs w:val="20"/>
          <w:lang w:val="mi-NZ"/>
        </w:rPr>
        <w:t>Report on Self-Determination under the UN Declaration on the Rights of Indigenous Peoples</w:t>
      </w:r>
      <w:r w:rsidR="003C602E" w:rsidRPr="00ED667B">
        <w:rPr>
          <w:sz w:val="20"/>
          <w:szCs w:val="20"/>
          <w:lang w:val="mi-NZ"/>
        </w:rPr>
        <w:t xml:space="preserve"> UN Doc A/HRC/48/75 (4 August 2021)</w:t>
      </w:r>
      <w:r w:rsidR="008B3704" w:rsidRPr="00ED667B">
        <w:rPr>
          <w:sz w:val="20"/>
          <w:szCs w:val="20"/>
          <w:lang w:val="mi-NZ"/>
        </w:rPr>
        <w:t xml:space="preserve">; and United Nations Economic and Social Council: Permanent Forum on Indigenous Issues </w:t>
      </w:r>
      <w:r w:rsidR="008B3704" w:rsidRPr="00ED667B">
        <w:rPr>
          <w:i/>
          <w:iCs/>
          <w:sz w:val="20"/>
          <w:szCs w:val="20"/>
          <w:lang w:val="mi-NZ"/>
        </w:rPr>
        <w:t xml:space="preserve">Guiding principles for the implementation of Indigenous Peoples’ rights to autonomy and self-government </w:t>
      </w:r>
      <w:r w:rsidR="008B3704" w:rsidRPr="00ED667B">
        <w:rPr>
          <w:sz w:val="20"/>
          <w:szCs w:val="20"/>
          <w:lang w:val="mi-NZ"/>
        </w:rPr>
        <w:t>UN Doc E/C.19/2024/3 (5 February 2024)</w:t>
      </w:r>
      <w:r w:rsidRPr="00ED667B">
        <w:rPr>
          <w:sz w:val="20"/>
          <w:szCs w:val="20"/>
          <w:lang w:val="mi-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2A4C" w14:textId="77777777" w:rsidR="000440DB" w:rsidRDefault="00044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D3C" w14:textId="12E6F9FE" w:rsidR="000440DB" w:rsidRPr="000440DB" w:rsidRDefault="000440DB" w:rsidP="000440DB">
    <w:pPr>
      <w:pStyle w:val="Header"/>
      <w:jc w:val="center"/>
      <w:rPr>
        <w:sz w:val="20"/>
        <w:szCs w:val="20"/>
      </w:rPr>
    </w:pPr>
    <w:r w:rsidRPr="000440DB">
      <w:rPr>
        <w:sz w:val="20"/>
        <w:szCs w:val="20"/>
      </w:rPr>
      <w:t>Speaking notes only. Please excuse brevity.</w:t>
    </w:r>
  </w:p>
  <w:p w14:paraId="561CEF19" w14:textId="77777777" w:rsidR="000440DB" w:rsidRDefault="00044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730AA" w14:textId="77777777" w:rsidR="000440DB" w:rsidRDefault="00044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65B"/>
    <w:multiLevelType w:val="multilevel"/>
    <w:tmpl w:val="ED1CF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0205E"/>
    <w:multiLevelType w:val="multilevel"/>
    <w:tmpl w:val="E8DCC0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8170F5A"/>
    <w:multiLevelType w:val="multilevel"/>
    <w:tmpl w:val="3DBCB3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D779B8"/>
    <w:multiLevelType w:val="multilevel"/>
    <w:tmpl w:val="BDF4B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9A68C5"/>
    <w:multiLevelType w:val="multilevel"/>
    <w:tmpl w:val="4A2604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A5A1E95"/>
    <w:multiLevelType w:val="multilevel"/>
    <w:tmpl w:val="01F8E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18F35C3"/>
    <w:multiLevelType w:val="multilevel"/>
    <w:tmpl w:val="6750D6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7842F1C"/>
    <w:multiLevelType w:val="hybridMultilevel"/>
    <w:tmpl w:val="E062B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B11BF2"/>
    <w:multiLevelType w:val="multilevel"/>
    <w:tmpl w:val="7BA25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BF3CCD"/>
    <w:multiLevelType w:val="multilevel"/>
    <w:tmpl w:val="69F42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75428A"/>
    <w:multiLevelType w:val="multilevel"/>
    <w:tmpl w:val="CECC1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1A284C"/>
    <w:multiLevelType w:val="multilevel"/>
    <w:tmpl w:val="2EE6B5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4787D24"/>
    <w:multiLevelType w:val="multilevel"/>
    <w:tmpl w:val="4D0651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06051D"/>
    <w:multiLevelType w:val="multilevel"/>
    <w:tmpl w:val="BE00B9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1E91E93"/>
    <w:multiLevelType w:val="multilevel"/>
    <w:tmpl w:val="68866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983EC9"/>
    <w:multiLevelType w:val="multilevel"/>
    <w:tmpl w:val="D8060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7552941"/>
    <w:multiLevelType w:val="multilevel"/>
    <w:tmpl w:val="B39625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AB81AEA"/>
    <w:multiLevelType w:val="multilevel"/>
    <w:tmpl w:val="80D4C8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D555D6C"/>
    <w:multiLevelType w:val="multilevel"/>
    <w:tmpl w:val="992CD7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DB401CB"/>
    <w:multiLevelType w:val="multilevel"/>
    <w:tmpl w:val="0D5606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0E4156"/>
    <w:multiLevelType w:val="multilevel"/>
    <w:tmpl w:val="930E1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03A4DD6"/>
    <w:multiLevelType w:val="multilevel"/>
    <w:tmpl w:val="A67A0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B9521E"/>
    <w:multiLevelType w:val="hybridMultilevel"/>
    <w:tmpl w:val="26529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494930"/>
    <w:multiLevelType w:val="multilevel"/>
    <w:tmpl w:val="FE803D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C9E487B"/>
    <w:multiLevelType w:val="multilevel"/>
    <w:tmpl w:val="C4E077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D6B7B7A"/>
    <w:multiLevelType w:val="multilevel"/>
    <w:tmpl w:val="B0BE1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CD95339"/>
    <w:multiLevelType w:val="multilevel"/>
    <w:tmpl w:val="12BAB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1232341">
    <w:abstractNumId w:val="9"/>
  </w:num>
  <w:num w:numId="2" w16cid:durableId="854684772">
    <w:abstractNumId w:val="4"/>
  </w:num>
  <w:num w:numId="3" w16cid:durableId="69809726">
    <w:abstractNumId w:val="21"/>
  </w:num>
  <w:num w:numId="4" w16cid:durableId="824518107">
    <w:abstractNumId w:val="1"/>
  </w:num>
  <w:num w:numId="5" w16cid:durableId="832334683">
    <w:abstractNumId w:val="5"/>
  </w:num>
  <w:num w:numId="6" w16cid:durableId="871772647">
    <w:abstractNumId w:val="23"/>
  </w:num>
  <w:num w:numId="7" w16cid:durableId="1331563392">
    <w:abstractNumId w:val="15"/>
  </w:num>
  <w:num w:numId="8" w16cid:durableId="371156266">
    <w:abstractNumId w:val="14"/>
  </w:num>
  <w:num w:numId="9" w16cid:durableId="1757290610">
    <w:abstractNumId w:val="12"/>
  </w:num>
  <w:num w:numId="10" w16cid:durableId="605426170">
    <w:abstractNumId w:val="17"/>
  </w:num>
  <w:num w:numId="11" w16cid:durableId="893584751">
    <w:abstractNumId w:val="25"/>
  </w:num>
  <w:num w:numId="12" w16cid:durableId="1898012398">
    <w:abstractNumId w:val="19"/>
  </w:num>
  <w:num w:numId="13" w16cid:durableId="912814927">
    <w:abstractNumId w:val="2"/>
  </w:num>
  <w:num w:numId="14" w16cid:durableId="270088902">
    <w:abstractNumId w:val="10"/>
  </w:num>
  <w:num w:numId="15" w16cid:durableId="1389037679">
    <w:abstractNumId w:val="20"/>
  </w:num>
  <w:num w:numId="16" w16cid:durableId="1471245888">
    <w:abstractNumId w:val="16"/>
  </w:num>
  <w:num w:numId="17" w16cid:durableId="1213494885">
    <w:abstractNumId w:val="13"/>
  </w:num>
  <w:num w:numId="18" w16cid:durableId="1602641033">
    <w:abstractNumId w:val="8"/>
  </w:num>
  <w:num w:numId="19" w16cid:durableId="1369527181">
    <w:abstractNumId w:val="3"/>
  </w:num>
  <w:num w:numId="20" w16cid:durableId="626811150">
    <w:abstractNumId w:val="11"/>
  </w:num>
  <w:num w:numId="21" w16cid:durableId="1911190141">
    <w:abstractNumId w:val="0"/>
  </w:num>
  <w:num w:numId="22" w16cid:durableId="1542093416">
    <w:abstractNumId w:val="6"/>
  </w:num>
  <w:num w:numId="23" w16cid:durableId="775828266">
    <w:abstractNumId w:val="24"/>
  </w:num>
  <w:num w:numId="24" w16cid:durableId="1813985066">
    <w:abstractNumId w:val="18"/>
  </w:num>
  <w:num w:numId="25" w16cid:durableId="1131097978">
    <w:abstractNumId w:val="26"/>
  </w:num>
  <w:num w:numId="26" w16cid:durableId="809975332">
    <w:abstractNumId w:val="7"/>
  </w:num>
  <w:num w:numId="27" w16cid:durableId="19252575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B4"/>
    <w:rsid w:val="00013F76"/>
    <w:rsid w:val="00025F85"/>
    <w:rsid w:val="000265F2"/>
    <w:rsid w:val="000440DB"/>
    <w:rsid w:val="00044EF3"/>
    <w:rsid w:val="0005054E"/>
    <w:rsid w:val="00066BDE"/>
    <w:rsid w:val="0007162D"/>
    <w:rsid w:val="0009119E"/>
    <w:rsid w:val="000A5499"/>
    <w:rsid w:val="000C081F"/>
    <w:rsid w:val="000C2969"/>
    <w:rsid w:val="000D24CE"/>
    <w:rsid w:val="000E1C76"/>
    <w:rsid w:val="000E1CEC"/>
    <w:rsid w:val="000F1431"/>
    <w:rsid w:val="00105A5E"/>
    <w:rsid w:val="00120ABA"/>
    <w:rsid w:val="0014366C"/>
    <w:rsid w:val="00151D6E"/>
    <w:rsid w:val="00170C1B"/>
    <w:rsid w:val="00194A9C"/>
    <w:rsid w:val="001970BD"/>
    <w:rsid w:val="001A45C7"/>
    <w:rsid w:val="001C3C98"/>
    <w:rsid w:val="001C6597"/>
    <w:rsid w:val="001C7E3A"/>
    <w:rsid w:val="001D075A"/>
    <w:rsid w:val="00204C73"/>
    <w:rsid w:val="00215569"/>
    <w:rsid w:val="00231968"/>
    <w:rsid w:val="0024336C"/>
    <w:rsid w:val="00246AF8"/>
    <w:rsid w:val="00263B53"/>
    <w:rsid w:val="00267BFF"/>
    <w:rsid w:val="0029563D"/>
    <w:rsid w:val="002B5A52"/>
    <w:rsid w:val="002B6B14"/>
    <w:rsid w:val="002B731B"/>
    <w:rsid w:val="002E017A"/>
    <w:rsid w:val="002E0E9E"/>
    <w:rsid w:val="002F27CD"/>
    <w:rsid w:val="00303FD5"/>
    <w:rsid w:val="00320E19"/>
    <w:rsid w:val="00330A9A"/>
    <w:rsid w:val="00342F17"/>
    <w:rsid w:val="0034701E"/>
    <w:rsid w:val="00351A89"/>
    <w:rsid w:val="00353184"/>
    <w:rsid w:val="003A44FD"/>
    <w:rsid w:val="003A457D"/>
    <w:rsid w:val="003A69E4"/>
    <w:rsid w:val="003B4C53"/>
    <w:rsid w:val="003B4EEA"/>
    <w:rsid w:val="003C602E"/>
    <w:rsid w:val="003D12B2"/>
    <w:rsid w:val="003D229D"/>
    <w:rsid w:val="00425236"/>
    <w:rsid w:val="00432234"/>
    <w:rsid w:val="00446A35"/>
    <w:rsid w:val="00446D8E"/>
    <w:rsid w:val="00447886"/>
    <w:rsid w:val="00463B4F"/>
    <w:rsid w:val="00477A1E"/>
    <w:rsid w:val="00482376"/>
    <w:rsid w:val="004953B5"/>
    <w:rsid w:val="004A09FF"/>
    <w:rsid w:val="004B1960"/>
    <w:rsid w:val="004B7A0A"/>
    <w:rsid w:val="004C4997"/>
    <w:rsid w:val="004D1F4C"/>
    <w:rsid w:val="004D2B23"/>
    <w:rsid w:val="004E5456"/>
    <w:rsid w:val="004E7E57"/>
    <w:rsid w:val="004F6C3C"/>
    <w:rsid w:val="00500C6E"/>
    <w:rsid w:val="005042E0"/>
    <w:rsid w:val="00516EC0"/>
    <w:rsid w:val="005211FC"/>
    <w:rsid w:val="005315F4"/>
    <w:rsid w:val="00546558"/>
    <w:rsid w:val="005566CF"/>
    <w:rsid w:val="00560E76"/>
    <w:rsid w:val="00561AFF"/>
    <w:rsid w:val="00562A32"/>
    <w:rsid w:val="005633DA"/>
    <w:rsid w:val="00565558"/>
    <w:rsid w:val="00573510"/>
    <w:rsid w:val="00591FF1"/>
    <w:rsid w:val="005B294C"/>
    <w:rsid w:val="005D08F6"/>
    <w:rsid w:val="005E47E9"/>
    <w:rsid w:val="005F65DD"/>
    <w:rsid w:val="00604127"/>
    <w:rsid w:val="006102CF"/>
    <w:rsid w:val="00612B51"/>
    <w:rsid w:val="006210CA"/>
    <w:rsid w:val="00632278"/>
    <w:rsid w:val="006367F2"/>
    <w:rsid w:val="00655B5F"/>
    <w:rsid w:val="00663D17"/>
    <w:rsid w:val="00667A98"/>
    <w:rsid w:val="0067030B"/>
    <w:rsid w:val="00674B71"/>
    <w:rsid w:val="0068394D"/>
    <w:rsid w:val="0068599A"/>
    <w:rsid w:val="00687C2F"/>
    <w:rsid w:val="00692F33"/>
    <w:rsid w:val="006B0222"/>
    <w:rsid w:val="006B34FB"/>
    <w:rsid w:val="006D5770"/>
    <w:rsid w:val="006E350A"/>
    <w:rsid w:val="006F3DE3"/>
    <w:rsid w:val="007314E9"/>
    <w:rsid w:val="00737999"/>
    <w:rsid w:val="0074331F"/>
    <w:rsid w:val="007552A9"/>
    <w:rsid w:val="00756FEC"/>
    <w:rsid w:val="007810B4"/>
    <w:rsid w:val="007A7882"/>
    <w:rsid w:val="007F1D91"/>
    <w:rsid w:val="00836FB7"/>
    <w:rsid w:val="00837595"/>
    <w:rsid w:val="008563AE"/>
    <w:rsid w:val="00857BA2"/>
    <w:rsid w:val="00860599"/>
    <w:rsid w:val="00862760"/>
    <w:rsid w:val="00886EBF"/>
    <w:rsid w:val="008B3704"/>
    <w:rsid w:val="008B6CD6"/>
    <w:rsid w:val="008C31FA"/>
    <w:rsid w:val="008C3C6A"/>
    <w:rsid w:val="008C594D"/>
    <w:rsid w:val="008D574D"/>
    <w:rsid w:val="008E1BDF"/>
    <w:rsid w:val="00905589"/>
    <w:rsid w:val="00913287"/>
    <w:rsid w:val="00915B95"/>
    <w:rsid w:val="00917C31"/>
    <w:rsid w:val="00931A0D"/>
    <w:rsid w:val="0096302F"/>
    <w:rsid w:val="00965749"/>
    <w:rsid w:val="00982B33"/>
    <w:rsid w:val="00983FDB"/>
    <w:rsid w:val="009927CD"/>
    <w:rsid w:val="009C167B"/>
    <w:rsid w:val="009E7449"/>
    <w:rsid w:val="009F4E56"/>
    <w:rsid w:val="009F7A97"/>
    <w:rsid w:val="00A50DCE"/>
    <w:rsid w:val="00A60E18"/>
    <w:rsid w:val="00AD005B"/>
    <w:rsid w:val="00B00574"/>
    <w:rsid w:val="00B20692"/>
    <w:rsid w:val="00B2334E"/>
    <w:rsid w:val="00B270BE"/>
    <w:rsid w:val="00B33978"/>
    <w:rsid w:val="00B347CD"/>
    <w:rsid w:val="00B47FB3"/>
    <w:rsid w:val="00B73FC7"/>
    <w:rsid w:val="00B84880"/>
    <w:rsid w:val="00B877B2"/>
    <w:rsid w:val="00BA2C06"/>
    <w:rsid w:val="00BB3AB7"/>
    <w:rsid w:val="00BC0E31"/>
    <w:rsid w:val="00BD1294"/>
    <w:rsid w:val="00BE0641"/>
    <w:rsid w:val="00BE2C8D"/>
    <w:rsid w:val="00C01ADB"/>
    <w:rsid w:val="00C21E3C"/>
    <w:rsid w:val="00C2778D"/>
    <w:rsid w:val="00C27FF3"/>
    <w:rsid w:val="00C60792"/>
    <w:rsid w:val="00C6354B"/>
    <w:rsid w:val="00C704AB"/>
    <w:rsid w:val="00C7715C"/>
    <w:rsid w:val="00C83678"/>
    <w:rsid w:val="00C9414D"/>
    <w:rsid w:val="00CC4E94"/>
    <w:rsid w:val="00CC5B49"/>
    <w:rsid w:val="00CE0286"/>
    <w:rsid w:val="00D7384D"/>
    <w:rsid w:val="00D76052"/>
    <w:rsid w:val="00DA1744"/>
    <w:rsid w:val="00DD27AE"/>
    <w:rsid w:val="00DD5D12"/>
    <w:rsid w:val="00DE122F"/>
    <w:rsid w:val="00DE1C9A"/>
    <w:rsid w:val="00DE6FE3"/>
    <w:rsid w:val="00DF107A"/>
    <w:rsid w:val="00E00581"/>
    <w:rsid w:val="00E01158"/>
    <w:rsid w:val="00E05F8C"/>
    <w:rsid w:val="00E11EB5"/>
    <w:rsid w:val="00E14DEE"/>
    <w:rsid w:val="00E16A84"/>
    <w:rsid w:val="00E33EDD"/>
    <w:rsid w:val="00E34742"/>
    <w:rsid w:val="00E476E7"/>
    <w:rsid w:val="00E57A51"/>
    <w:rsid w:val="00E62C0B"/>
    <w:rsid w:val="00E63092"/>
    <w:rsid w:val="00E851B3"/>
    <w:rsid w:val="00E9052E"/>
    <w:rsid w:val="00E91BF6"/>
    <w:rsid w:val="00E92F93"/>
    <w:rsid w:val="00EB7F9B"/>
    <w:rsid w:val="00EC1498"/>
    <w:rsid w:val="00EC2B5E"/>
    <w:rsid w:val="00EC3119"/>
    <w:rsid w:val="00EC51AA"/>
    <w:rsid w:val="00EC5766"/>
    <w:rsid w:val="00ED667B"/>
    <w:rsid w:val="00EF1DA6"/>
    <w:rsid w:val="00F037F5"/>
    <w:rsid w:val="00F20470"/>
    <w:rsid w:val="00F563F6"/>
    <w:rsid w:val="00F60398"/>
    <w:rsid w:val="00F72F12"/>
    <w:rsid w:val="00F75DCC"/>
    <w:rsid w:val="00F80250"/>
    <w:rsid w:val="00F85579"/>
    <w:rsid w:val="00FA0F49"/>
    <w:rsid w:val="00FB183C"/>
    <w:rsid w:val="00FC1931"/>
    <w:rsid w:val="00FC5DDE"/>
    <w:rsid w:val="00FD51D8"/>
    <w:rsid w:val="00FD6291"/>
    <w:rsid w:val="00FD7386"/>
    <w:rsid w:val="00FE4298"/>
    <w:rsid w:val="00FE4E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6E87"/>
  <w15:chartTrackingRefBased/>
  <w15:docId w15:val="{DBC25F42-59F1-AE4F-B910-4E9AFFC7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B4"/>
    <w:rPr>
      <w:rFonts w:ascii="Aptos" w:eastAsia="Aptos" w:hAnsi="Aptos" w:cs="Aptos"/>
      <w:lang w:val="en-GB" w:eastAsia="en-GB"/>
    </w:rPr>
  </w:style>
  <w:style w:type="paragraph" w:styleId="Heading1">
    <w:name w:val="heading 1"/>
    <w:basedOn w:val="Normal"/>
    <w:next w:val="Normal"/>
    <w:link w:val="Heading1Char"/>
    <w:uiPriority w:val="9"/>
    <w:qFormat/>
    <w:rsid w:val="00DF107A"/>
    <w:pPr>
      <w:spacing w:line="360" w:lineRule="auto"/>
      <w:outlineLvl w:val="0"/>
    </w:pPr>
    <w:rPr>
      <w:rFonts w:asciiTheme="minorHAnsi" w:eastAsia="Calibri" w:hAnsiTheme="minorHAnsi" w:cs="Calibri"/>
      <w:i/>
      <w:iCs/>
      <w:color w:val="212121"/>
      <w:sz w:val="28"/>
      <w:szCs w:val="28"/>
    </w:rPr>
  </w:style>
  <w:style w:type="paragraph" w:styleId="Heading2">
    <w:name w:val="heading 2"/>
    <w:basedOn w:val="Normal"/>
    <w:next w:val="Normal"/>
    <w:link w:val="Heading2Char"/>
    <w:uiPriority w:val="9"/>
    <w:unhideWhenUsed/>
    <w:qFormat/>
    <w:rsid w:val="00DF107A"/>
    <w:pPr>
      <w:spacing w:line="360" w:lineRule="auto"/>
      <w:outlineLvl w:val="1"/>
    </w:pPr>
    <w:rPr>
      <w:rFonts w:asciiTheme="minorHAnsi" w:eastAsia="Calibri" w:hAnsiTheme="minorHAnsi" w:cs="Calibri"/>
      <w:i/>
      <w:iCs/>
    </w:rPr>
  </w:style>
  <w:style w:type="paragraph" w:styleId="Heading3">
    <w:name w:val="heading 3"/>
    <w:basedOn w:val="Normal"/>
    <w:next w:val="Normal"/>
    <w:link w:val="Heading3Char"/>
    <w:uiPriority w:val="9"/>
    <w:semiHidden/>
    <w:unhideWhenUsed/>
    <w:qFormat/>
    <w:rsid w:val="007810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0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0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0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0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0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0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07A"/>
    <w:rPr>
      <w:rFonts w:eastAsia="Calibri" w:cs="Calibri"/>
      <w:i/>
      <w:iCs/>
      <w:color w:val="212121"/>
      <w:sz w:val="28"/>
      <w:szCs w:val="28"/>
      <w:lang w:val="en-GB" w:eastAsia="en-GB"/>
    </w:rPr>
  </w:style>
  <w:style w:type="character" w:customStyle="1" w:styleId="Heading2Char">
    <w:name w:val="Heading 2 Char"/>
    <w:basedOn w:val="DefaultParagraphFont"/>
    <w:link w:val="Heading2"/>
    <w:uiPriority w:val="9"/>
    <w:rsid w:val="00DF107A"/>
    <w:rPr>
      <w:rFonts w:eastAsia="Calibri" w:cs="Calibri"/>
      <w:i/>
      <w:iCs/>
      <w:lang w:val="en-GB" w:eastAsia="en-GB"/>
    </w:rPr>
  </w:style>
  <w:style w:type="character" w:customStyle="1" w:styleId="Heading3Char">
    <w:name w:val="Heading 3 Char"/>
    <w:basedOn w:val="DefaultParagraphFont"/>
    <w:link w:val="Heading3"/>
    <w:uiPriority w:val="9"/>
    <w:semiHidden/>
    <w:rsid w:val="007810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0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0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0B4"/>
    <w:rPr>
      <w:rFonts w:eastAsiaTheme="majorEastAsia" w:cstheme="majorBidi"/>
      <w:color w:val="272727" w:themeColor="text1" w:themeTint="D8"/>
    </w:rPr>
  </w:style>
  <w:style w:type="paragraph" w:styleId="Title">
    <w:name w:val="Title"/>
    <w:basedOn w:val="Normal"/>
    <w:next w:val="Normal"/>
    <w:link w:val="TitleChar"/>
    <w:uiPriority w:val="10"/>
    <w:qFormat/>
    <w:rsid w:val="00781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0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0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0B4"/>
    <w:rPr>
      <w:i/>
      <w:iCs/>
      <w:color w:val="404040" w:themeColor="text1" w:themeTint="BF"/>
    </w:rPr>
  </w:style>
  <w:style w:type="paragraph" w:styleId="ListParagraph">
    <w:name w:val="List Paragraph"/>
    <w:basedOn w:val="Normal"/>
    <w:uiPriority w:val="34"/>
    <w:qFormat/>
    <w:rsid w:val="007810B4"/>
    <w:pPr>
      <w:ind w:left="720"/>
      <w:contextualSpacing/>
    </w:pPr>
  </w:style>
  <w:style w:type="character" w:styleId="IntenseEmphasis">
    <w:name w:val="Intense Emphasis"/>
    <w:basedOn w:val="DefaultParagraphFont"/>
    <w:uiPriority w:val="21"/>
    <w:qFormat/>
    <w:rsid w:val="007810B4"/>
    <w:rPr>
      <w:i/>
      <w:iCs/>
      <w:color w:val="0F4761" w:themeColor="accent1" w:themeShade="BF"/>
    </w:rPr>
  </w:style>
  <w:style w:type="paragraph" w:styleId="IntenseQuote">
    <w:name w:val="Intense Quote"/>
    <w:basedOn w:val="Normal"/>
    <w:next w:val="Normal"/>
    <w:link w:val="IntenseQuoteChar"/>
    <w:uiPriority w:val="30"/>
    <w:qFormat/>
    <w:rsid w:val="007810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0B4"/>
    <w:rPr>
      <w:i/>
      <w:iCs/>
      <w:color w:val="0F4761" w:themeColor="accent1" w:themeShade="BF"/>
    </w:rPr>
  </w:style>
  <w:style w:type="character" w:styleId="IntenseReference">
    <w:name w:val="Intense Reference"/>
    <w:basedOn w:val="DefaultParagraphFont"/>
    <w:uiPriority w:val="32"/>
    <w:qFormat/>
    <w:rsid w:val="007810B4"/>
    <w:rPr>
      <w:b/>
      <w:bCs/>
      <w:smallCaps/>
      <w:color w:val="0F4761" w:themeColor="accent1" w:themeShade="BF"/>
      <w:spacing w:val="5"/>
    </w:rPr>
  </w:style>
  <w:style w:type="paragraph" w:styleId="FootnoteText">
    <w:name w:val="footnote text"/>
    <w:aliases w:val="footnote text,5_G,Footnote Text Char Char Char Char Char,Footnote Text Char Char Char Char,Footnote reference,FA Fu,Footnote Text Char Char Char"/>
    <w:basedOn w:val="Normal"/>
    <w:link w:val="FootnoteTextChar"/>
    <w:uiPriority w:val="99"/>
    <w:unhideWhenUsed/>
    <w:qFormat/>
    <w:rsid w:val="007810B4"/>
    <w:rPr>
      <w:sz w:val="20"/>
      <w:szCs w:val="20"/>
    </w:rPr>
  </w:style>
  <w:style w:type="character" w:customStyle="1" w:styleId="FootnoteTextChar">
    <w:name w:val="Footnote Text Char"/>
    <w:aliases w:val="footnote text Char,5_G Char,Footnote Text Char Char Char Char Char Char,Footnote Text Char Char Char Char Char1,Footnote reference Char,FA Fu Char,Footnote Text Char Char Char Char1"/>
    <w:basedOn w:val="DefaultParagraphFont"/>
    <w:link w:val="FootnoteText"/>
    <w:uiPriority w:val="99"/>
    <w:rsid w:val="007810B4"/>
    <w:rPr>
      <w:rFonts w:ascii="Aptos" w:eastAsia="Aptos" w:hAnsi="Aptos" w:cs="Aptos"/>
      <w:sz w:val="20"/>
      <w:szCs w:val="20"/>
      <w:lang w:val="en-GB" w:eastAsia="en-GB"/>
    </w:rPr>
  </w:style>
  <w:style w:type="character" w:styleId="FootnoteReference">
    <w:name w:val="footnote reference"/>
    <w:aliases w:val="4_G"/>
    <w:basedOn w:val="DefaultParagraphFont"/>
    <w:uiPriority w:val="99"/>
    <w:unhideWhenUsed/>
    <w:rsid w:val="007810B4"/>
    <w:rPr>
      <w:vertAlign w:val="superscript"/>
    </w:rPr>
  </w:style>
  <w:style w:type="paragraph" w:styleId="Header">
    <w:name w:val="header"/>
    <w:basedOn w:val="Normal"/>
    <w:link w:val="HeaderChar"/>
    <w:uiPriority w:val="99"/>
    <w:unhideWhenUsed/>
    <w:rsid w:val="000440DB"/>
    <w:pPr>
      <w:tabs>
        <w:tab w:val="center" w:pos="4513"/>
        <w:tab w:val="right" w:pos="9026"/>
      </w:tabs>
    </w:pPr>
  </w:style>
  <w:style w:type="character" w:customStyle="1" w:styleId="HeaderChar">
    <w:name w:val="Header Char"/>
    <w:basedOn w:val="DefaultParagraphFont"/>
    <w:link w:val="Header"/>
    <w:uiPriority w:val="99"/>
    <w:rsid w:val="000440DB"/>
    <w:rPr>
      <w:rFonts w:ascii="Aptos" w:eastAsia="Aptos" w:hAnsi="Aptos" w:cs="Aptos"/>
      <w:lang w:val="en-GB" w:eastAsia="en-GB"/>
    </w:rPr>
  </w:style>
  <w:style w:type="paragraph" w:styleId="Footer">
    <w:name w:val="footer"/>
    <w:basedOn w:val="Normal"/>
    <w:link w:val="FooterChar"/>
    <w:uiPriority w:val="99"/>
    <w:unhideWhenUsed/>
    <w:rsid w:val="000440DB"/>
    <w:pPr>
      <w:tabs>
        <w:tab w:val="center" w:pos="4513"/>
        <w:tab w:val="right" w:pos="9026"/>
      </w:tabs>
    </w:pPr>
  </w:style>
  <w:style w:type="character" w:customStyle="1" w:styleId="FooterChar">
    <w:name w:val="Footer Char"/>
    <w:basedOn w:val="DefaultParagraphFont"/>
    <w:link w:val="Footer"/>
    <w:uiPriority w:val="99"/>
    <w:rsid w:val="000440DB"/>
    <w:rPr>
      <w:rFonts w:ascii="Aptos" w:eastAsia="Aptos" w:hAnsi="Aptos" w:cs="Aptos"/>
      <w:lang w:val="en-GB" w:eastAsia="en-GB"/>
    </w:rPr>
  </w:style>
  <w:style w:type="character" w:styleId="Hyperlink">
    <w:name w:val="Hyperlink"/>
    <w:basedOn w:val="DefaultParagraphFont"/>
    <w:uiPriority w:val="99"/>
    <w:unhideWhenUsed/>
    <w:rsid w:val="00591FF1"/>
    <w:rPr>
      <w:color w:val="467886" w:themeColor="hyperlink"/>
      <w:u w:val="single"/>
    </w:rPr>
  </w:style>
  <w:style w:type="character" w:styleId="UnresolvedMention">
    <w:name w:val="Unresolved Mention"/>
    <w:basedOn w:val="DefaultParagraphFont"/>
    <w:uiPriority w:val="99"/>
    <w:semiHidden/>
    <w:unhideWhenUsed/>
    <w:rsid w:val="00591FF1"/>
    <w:rPr>
      <w:color w:val="605E5C"/>
      <w:shd w:val="clear" w:color="auto" w:fill="E1DFDD"/>
    </w:rPr>
  </w:style>
  <w:style w:type="paragraph" w:customStyle="1" w:styleId="text">
    <w:name w:val="text"/>
    <w:basedOn w:val="Normal"/>
    <w:rsid w:val="00B33978"/>
    <w:pPr>
      <w:spacing w:before="100" w:beforeAutospacing="1" w:after="100" w:afterAutospacing="1"/>
    </w:pPr>
    <w:rPr>
      <w:rFonts w:ascii="Times New Roman" w:eastAsia="Times New Roman" w:hAnsi="Times New Roman" w:cs="Times New Roman"/>
      <w:lang w:val="en-NZ"/>
    </w:rPr>
  </w:style>
  <w:style w:type="character" w:customStyle="1" w:styleId="label">
    <w:name w:val="label"/>
    <w:basedOn w:val="DefaultParagraphFont"/>
    <w:rsid w:val="00B33978"/>
  </w:style>
  <w:style w:type="paragraph" w:styleId="Revision">
    <w:name w:val="Revision"/>
    <w:hidden/>
    <w:uiPriority w:val="99"/>
    <w:semiHidden/>
    <w:rsid w:val="00F037F5"/>
    <w:rPr>
      <w:rFonts w:ascii="Aptos" w:eastAsia="Aptos" w:hAnsi="Aptos" w:cs="Aptos"/>
      <w:lang w:val="en-GB" w:eastAsia="en-GB"/>
    </w:rPr>
  </w:style>
  <w:style w:type="character" w:styleId="CommentReference">
    <w:name w:val="annotation reference"/>
    <w:basedOn w:val="DefaultParagraphFont"/>
    <w:uiPriority w:val="99"/>
    <w:semiHidden/>
    <w:unhideWhenUsed/>
    <w:rsid w:val="00F037F5"/>
    <w:rPr>
      <w:sz w:val="16"/>
      <w:szCs w:val="16"/>
    </w:rPr>
  </w:style>
  <w:style w:type="paragraph" w:styleId="CommentText">
    <w:name w:val="annotation text"/>
    <w:basedOn w:val="Normal"/>
    <w:link w:val="CommentTextChar"/>
    <w:uiPriority w:val="99"/>
    <w:unhideWhenUsed/>
    <w:rsid w:val="00F037F5"/>
    <w:rPr>
      <w:sz w:val="20"/>
      <w:szCs w:val="20"/>
    </w:rPr>
  </w:style>
  <w:style w:type="character" w:customStyle="1" w:styleId="CommentTextChar">
    <w:name w:val="Comment Text Char"/>
    <w:basedOn w:val="DefaultParagraphFont"/>
    <w:link w:val="CommentText"/>
    <w:uiPriority w:val="99"/>
    <w:rsid w:val="00F037F5"/>
    <w:rPr>
      <w:rFonts w:ascii="Aptos" w:eastAsia="Aptos" w:hAnsi="Aptos" w:cs="Aptos"/>
      <w:sz w:val="20"/>
      <w:szCs w:val="20"/>
      <w:lang w:val="en-GB" w:eastAsia="en-GB"/>
    </w:rPr>
  </w:style>
  <w:style w:type="paragraph" w:styleId="CommentSubject">
    <w:name w:val="annotation subject"/>
    <w:basedOn w:val="CommentText"/>
    <w:next w:val="CommentText"/>
    <w:link w:val="CommentSubjectChar"/>
    <w:uiPriority w:val="99"/>
    <w:semiHidden/>
    <w:unhideWhenUsed/>
    <w:rsid w:val="00F037F5"/>
    <w:rPr>
      <w:b/>
      <w:bCs/>
    </w:rPr>
  </w:style>
  <w:style w:type="character" w:customStyle="1" w:styleId="CommentSubjectChar">
    <w:name w:val="Comment Subject Char"/>
    <w:basedOn w:val="CommentTextChar"/>
    <w:link w:val="CommentSubject"/>
    <w:uiPriority w:val="99"/>
    <w:semiHidden/>
    <w:rsid w:val="00F037F5"/>
    <w:rPr>
      <w:rFonts w:ascii="Aptos" w:eastAsia="Aptos" w:hAnsi="Aptos" w:cs="Aptos"/>
      <w:b/>
      <w:bCs/>
      <w:sz w:val="20"/>
      <w:szCs w:val="20"/>
      <w:lang w:val="en-GB" w:eastAsia="en-GB"/>
    </w:rPr>
  </w:style>
  <w:style w:type="character" w:styleId="FollowedHyperlink">
    <w:name w:val="FollowedHyperlink"/>
    <w:basedOn w:val="DefaultParagraphFont"/>
    <w:uiPriority w:val="99"/>
    <w:semiHidden/>
    <w:unhideWhenUsed/>
    <w:rsid w:val="001A45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43568">
      <w:bodyDiv w:val="1"/>
      <w:marLeft w:val="0"/>
      <w:marRight w:val="0"/>
      <w:marTop w:val="0"/>
      <w:marBottom w:val="0"/>
      <w:divBdr>
        <w:top w:val="none" w:sz="0" w:space="0" w:color="auto"/>
        <w:left w:val="none" w:sz="0" w:space="0" w:color="auto"/>
        <w:bottom w:val="none" w:sz="0" w:space="0" w:color="auto"/>
        <w:right w:val="none" w:sz="0" w:space="0" w:color="auto"/>
      </w:divBdr>
      <w:divsChild>
        <w:div w:id="669940991">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C9AF-759E-479D-95CC-4080EE11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Charters</dc:creator>
  <cp:keywords/>
  <dc:description/>
  <cp:lastModifiedBy>Danica Loulie-Wijtenburg</cp:lastModifiedBy>
  <cp:revision>5</cp:revision>
  <dcterms:created xsi:type="dcterms:W3CDTF">2025-03-01T02:02:00Z</dcterms:created>
  <dcterms:modified xsi:type="dcterms:W3CDTF">2025-03-02T10:06:00Z</dcterms:modified>
</cp:coreProperties>
</file>